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F4A9BC" w14:textId="77777777" w:rsidR="001B353C" w:rsidRDefault="000071E4" w:rsidP="000071E4">
      <w:pPr>
        <w:pStyle w:val="Normal1"/>
        <w:rPr>
          <w:rFonts w:asciiTheme="minorHAnsi" w:hAnsiTheme="minorHAnsi"/>
          <w:b/>
          <w:sz w:val="24"/>
          <w:szCs w:val="24"/>
        </w:rPr>
      </w:pPr>
      <w:proofErr w:type="spellStart"/>
      <w:proofErr w:type="gramStart"/>
      <w:r>
        <w:rPr>
          <w:rFonts w:asciiTheme="minorHAnsi" w:hAnsiTheme="minorHAnsi"/>
          <w:b/>
          <w:sz w:val="24"/>
          <w:szCs w:val="24"/>
        </w:rPr>
        <w:t>Kapi‘</w:t>
      </w:r>
      <w:proofErr w:type="gramEnd"/>
      <w:r>
        <w:rPr>
          <w:rFonts w:asciiTheme="minorHAnsi" w:hAnsiTheme="minorHAnsi"/>
          <w:b/>
          <w:sz w:val="24"/>
          <w:szCs w:val="24"/>
        </w:rPr>
        <w:t>olani</w:t>
      </w:r>
      <w:proofErr w:type="spellEnd"/>
      <w:r>
        <w:rPr>
          <w:rFonts w:asciiTheme="minorHAnsi" w:hAnsiTheme="minorHAnsi"/>
          <w:b/>
          <w:sz w:val="24"/>
          <w:szCs w:val="24"/>
        </w:rPr>
        <w:t xml:space="preserve"> Community College </w:t>
      </w:r>
    </w:p>
    <w:p w14:paraId="0719B441" w14:textId="57F2667A" w:rsidR="00CE5F1C" w:rsidRDefault="00CE5F1C" w:rsidP="000071E4">
      <w:pPr>
        <w:pStyle w:val="Normal1"/>
        <w:rPr>
          <w:rFonts w:asciiTheme="minorHAnsi" w:hAnsiTheme="minorHAnsi"/>
          <w:b/>
          <w:sz w:val="24"/>
          <w:szCs w:val="24"/>
        </w:rPr>
      </w:pPr>
      <w:r>
        <w:rPr>
          <w:rFonts w:asciiTheme="minorHAnsi" w:hAnsiTheme="minorHAnsi"/>
          <w:b/>
          <w:sz w:val="24"/>
          <w:szCs w:val="24"/>
        </w:rPr>
        <w:t>Procedures</w:t>
      </w:r>
      <w:r w:rsidR="000071E4">
        <w:rPr>
          <w:rFonts w:asciiTheme="minorHAnsi" w:hAnsiTheme="minorHAnsi"/>
          <w:b/>
          <w:sz w:val="24"/>
          <w:szCs w:val="24"/>
        </w:rPr>
        <w:t xml:space="preserve"> for Student Disclosures </w:t>
      </w:r>
    </w:p>
    <w:p w14:paraId="596EB322" w14:textId="67E9BD39" w:rsidR="000071E4" w:rsidRDefault="000071E4" w:rsidP="000071E4">
      <w:pPr>
        <w:pStyle w:val="Normal1"/>
        <w:rPr>
          <w:rFonts w:asciiTheme="minorHAnsi" w:hAnsiTheme="minorHAnsi"/>
          <w:sz w:val="24"/>
          <w:szCs w:val="24"/>
        </w:rPr>
      </w:pPr>
      <w:r w:rsidRPr="000071E4">
        <w:rPr>
          <w:rFonts w:asciiTheme="minorHAnsi" w:hAnsiTheme="minorHAnsi"/>
          <w:sz w:val="24"/>
          <w:szCs w:val="24"/>
        </w:rPr>
        <w:t xml:space="preserve">State Authorization § 600.9(c)(2)(ii) </w:t>
      </w:r>
      <w:bookmarkStart w:id="0" w:name="_wx4anwmaxfxh" w:colFirst="0" w:colLast="0"/>
      <w:bookmarkEnd w:id="0"/>
    </w:p>
    <w:p w14:paraId="1B48AAF2" w14:textId="77777777" w:rsidR="000071E4" w:rsidRDefault="000071E4" w:rsidP="000071E4">
      <w:pPr>
        <w:pStyle w:val="Normal1"/>
        <w:rPr>
          <w:rFonts w:asciiTheme="minorHAnsi" w:hAnsiTheme="minorHAnsi"/>
          <w:sz w:val="24"/>
          <w:szCs w:val="24"/>
        </w:rPr>
      </w:pPr>
    </w:p>
    <w:p w14:paraId="569983AD" w14:textId="3618D609" w:rsidR="000071E4" w:rsidRPr="000071E4" w:rsidRDefault="000071E4" w:rsidP="000071E4">
      <w:pPr>
        <w:pStyle w:val="Normal1"/>
        <w:numPr>
          <w:ilvl w:val="0"/>
          <w:numId w:val="2"/>
        </w:numPr>
        <w:rPr>
          <w:rFonts w:asciiTheme="minorHAnsi" w:hAnsiTheme="minorHAnsi"/>
          <w:b/>
          <w:sz w:val="24"/>
          <w:szCs w:val="24"/>
        </w:rPr>
      </w:pPr>
      <w:r w:rsidRPr="000071E4">
        <w:rPr>
          <w:rFonts w:asciiTheme="minorHAnsi" w:hAnsiTheme="minorHAnsi"/>
          <w:b/>
          <w:sz w:val="24"/>
          <w:szCs w:val="24"/>
        </w:rPr>
        <w:t>Purpose</w:t>
      </w:r>
    </w:p>
    <w:p w14:paraId="00000003" w14:textId="77777777" w:rsidR="00E12622" w:rsidRPr="000071E4" w:rsidRDefault="000071E4">
      <w:pPr>
        <w:pStyle w:val="Normal1"/>
        <w:numPr>
          <w:ilvl w:val="1"/>
          <w:numId w:val="2"/>
        </w:numPr>
        <w:rPr>
          <w:rFonts w:asciiTheme="minorHAnsi" w:hAnsiTheme="minorHAnsi"/>
          <w:sz w:val="24"/>
          <w:szCs w:val="24"/>
        </w:rPr>
      </w:pPr>
      <w:r w:rsidRPr="000071E4">
        <w:rPr>
          <w:rFonts w:asciiTheme="minorHAnsi" w:hAnsiTheme="minorHAnsi"/>
          <w:sz w:val="24"/>
          <w:szCs w:val="24"/>
        </w:rPr>
        <w:t xml:space="preserve">Ensure compliance with the 2019 state authorization federal regulations that mandate institutions meet requirements for state reciprocity agreements [34-CFR 600.2], state authorization [34 CFR 600.9(c)], and professional licensure notifications [34 CFR 668.43(a)(5)(v) and 34 CFR 668.43(c)].  </w:t>
      </w:r>
    </w:p>
    <w:p w14:paraId="00000005" w14:textId="2F748F02" w:rsidR="00E12622" w:rsidRPr="00F87EF2" w:rsidRDefault="008230D2" w:rsidP="000071E4">
      <w:pPr>
        <w:pStyle w:val="Normal1"/>
        <w:numPr>
          <w:ilvl w:val="1"/>
          <w:numId w:val="2"/>
        </w:numPr>
        <w:rPr>
          <w:rFonts w:asciiTheme="minorHAnsi" w:hAnsiTheme="minorHAnsi"/>
          <w:sz w:val="24"/>
          <w:szCs w:val="24"/>
        </w:rPr>
      </w:pPr>
      <w:r>
        <w:rPr>
          <w:rFonts w:asciiTheme="minorHAnsi" w:hAnsiTheme="minorHAnsi"/>
          <w:sz w:val="24"/>
          <w:szCs w:val="24"/>
        </w:rPr>
        <w:t>P</w:t>
      </w:r>
      <w:r w:rsidR="007A717C">
        <w:rPr>
          <w:rFonts w:asciiTheme="minorHAnsi" w:hAnsiTheme="minorHAnsi"/>
          <w:sz w:val="24"/>
          <w:szCs w:val="24"/>
        </w:rPr>
        <w:t>rovide</w:t>
      </w:r>
      <w:r w:rsidR="000071E4" w:rsidRPr="000071E4">
        <w:rPr>
          <w:rFonts w:asciiTheme="minorHAnsi" w:hAnsiTheme="minorHAnsi"/>
          <w:sz w:val="24"/>
          <w:szCs w:val="24"/>
        </w:rPr>
        <w:t xml:space="preserve"> procedure</w:t>
      </w:r>
      <w:r w:rsidR="007A717C">
        <w:rPr>
          <w:rFonts w:asciiTheme="minorHAnsi" w:hAnsiTheme="minorHAnsi"/>
          <w:sz w:val="24"/>
          <w:szCs w:val="24"/>
        </w:rPr>
        <w:t>s</w:t>
      </w:r>
      <w:r w:rsidR="000071E4" w:rsidRPr="000071E4">
        <w:rPr>
          <w:rFonts w:asciiTheme="minorHAnsi" w:hAnsiTheme="minorHAnsi"/>
          <w:sz w:val="24"/>
          <w:szCs w:val="24"/>
        </w:rPr>
        <w:t xml:space="preserve"> and language for the purposes of complying with these regulations regarding student disclosures. Compliance is a condition of NC-SARA membership.</w:t>
      </w:r>
      <w:r w:rsidR="000071E4" w:rsidRPr="000071E4">
        <w:rPr>
          <w:rFonts w:asciiTheme="minorHAnsi" w:hAnsiTheme="minorHAnsi"/>
          <w:color w:val="333333"/>
          <w:sz w:val="24"/>
          <w:szCs w:val="24"/>
        </w:rPr>
        <w:t xml:space="preserve"> </w:t>
      </w:r>
    </w:p>
    <w:p w14:paraId="00000006" w14:textId="77777777" w:rsidR="00E12622" w:rsidRPr="000071E4" w:rsidRDefault="000071E4">
      <w:pPr>
        <w:pStyle w:val="Heading1"/>
        <w:numPr>
          <w:ilvl w:val="0"/>
          <w:numId w:val="2"/>
        </w:numPr>
        <w:spacing w:after="0"/>
        <w:rPr>
          <w:rFonts w:asciiTheme="minorHAnsi" w:hAnsiTheme="minorHAnsi"/>
          <w:b/>
          <w:sz w:val="24"/>
          <w:szCs w:val="24"/>
        </w:rPr>
      </w:pPr>
      <w:bookmarkStart w:id="1" w:name="_7t8lcwat6sj8" w:colFirst="0" w:colLast="0"/>
      <w:bookmarkEnd w:id="1"/>
      <w:r w:rsidRPr="000071E4">
        <w:rPr>
          <w:rFonts w:asciiTheme="minorHAnsi" w:hAnsiTheme="minorHAnsi"/>
          <w:b/>
          <w:sz w:val="24"/>
          <w:szCs w:val="24"/>
        </w:rPr>
        <w:t>Definitions</w:t>
      </w:r>
    </w:p>
    <w:p w14:paraId="00000007" w14:textId="4015C250" w:rsidR="00E12622" w:rsidRPr="000071E4" w:rsidRDefault="000071E4">
      <w:pPr>
        <w:pStyle w:val="Normal1"/>
        <w:numPr>
          <w:ilvl w:val="1"/>
          <w:numId w:val="2"/>
        </w:numPr>
        <w:rPr>
          <w:rFonts w:asciiTheme="minorHAnsi" w:hAnsiTheme="minorHAnsi"/>
          <w:sz w:val="24"/>
          <w:szCs w:val="24"/>
        </w:rPr>
      </w:pPr>
      <w:r w:rsidRPr="000071E4">
        <w:rPr>
          <w:rFonts w:asciiTheme="minorHAnsi" w:hAnsiTheme="minorHAnsi"/>
          <w:b/>
          <w:sz w:val="24"/>
          <w:szCs w:val="24"/>
        </w:rPr>
        <w:t>Location:</w:t>
      </w:r>
      <w:r w:rsidRPr="000071E4">
        <w:rPr>
          <w:rFonts w:asciiTheme="minorHAnsi" w:hAnsiTheme="minorHAnsi"/>
          <w:sz w:val="24"/>
          <w:szCs w:val="24"/>
        </w:rPr>
        <w:t xml:space="preserve"> A student’s location shall be defined as the place in which a student is currently living (</w:t>
      </w:r>
      <w:proofErr w:type="gramStart"/>
      <w:r w:rsidRPr="000071E4">
        <w:rPr>
          <w:rFonts w:asciiTheme="minorHAnsi" w:hAnsiTheme="minorHAnsi"/>
          <w:sz w:val="24"/>
          <w:szCs w:val="24"/>
        </w:rPr>
        <w:t>e.g.</w:t>
      </w:r>
      <w:proofErr w:type="gramEnd"/>
      <w:r w:rsidRPr="000071E4">
        <w:rPr>
          <w:rFonts w:asciiTheme="minorHAnsi" w:hAnsiTheme="minorHAnsi"/>
          <w:sz w:val="24"/>
          <w:szCs w:val="24"/>
        </w:rPr>
        <w:t xml:space="preserve"> current address or mailing address if no current address exists) at the time of enrollment before making a financial commitment and while enrolled in a professional or occupational licensure or certification program, not the student’s state of residency. </w:t>
      </w:r>
      <w:r w:rsidRPr="00CE5F1C">
        <w:rPr>
          <w:rFonts w:asciiTheme="minorHAnsi" w:hAnsiTheme="minorHAnsi"/>
          <w:sz w:val="24"/>
          <w:szCs w:val="24"/>
        </w:rPr>
        <w:t xml:space="preserve">See </w:t>
      </w:r>
      <w:proofErr w:type="spellStart"/>
      <w:proofErr w:type="gramStart"/>
      <w:r w:rsidRPr="00CE5F1C">
        <w:rPr>
          <w:rFonts w:asciiTheme="minorHAnsi" w:hAnsiTheme="minorHAnsi"/>
          <w:sz w:val="24"/>
          <w:szCs w:val="24"/>
        </w:rPr>
        <w:t>Kapi‘</w:t>
      </w:r>
      <w:proofErr w:type="gramEnd"/>
      <w:r w:rsidRPr="00CE5F1C">
        <w:rPr>
          <w:rFonts w:asciiTheme="minorHAnsi" w:hAnsiTheme="minorHAnsi"/>
          <w:sz w:val="24"/>
          <w:szCs w:val="24"/>
        </w:rPr>
        <w:t>olani</w:t>
      </w:r>
      <w:proofErr w:type="spellEnd"/>
      <w:r w:rsidRPr="00CE5F1C">
        <w:rPr>
          <w:rFonts w:asciiTheme="minorHAnsi" w:hAnsiTheme="minorHAnsi"/>
          <w:sz w:val="24"/>
          <w:szCs w:val="24"/>
        </w:rPr>
        <w:t xml:space="preserve"> CC </w:t>
      </w:r>
      <w:r w:rsidR="00CE5F1C" w:rsidRPr="00CE5F1C">
        <w:rPr>
          <w:rFonts w:asciiTheme="minorHAnsi" w:hAnsiTheme="minorHAnsi"/>
          <w:sz w:val="24"/>
          <w:szCs w:val="24"/>
        </w:rPr>
        <w:t xml:space="preserve">Procedures </w:t>
      </w:r>
      <w:r w:rsidRPr="00CE5F1C">
        <w:rPr>
          <w:rFonts w:asciiTheme="minorHAnsi" w:hAnsiTheme="minorHAnsi"/>
          <w:sz w:val="24"/>
          <w:szCs w:val="24"/>
        </w:rPr>
        <w:t>for Determining Student Location</w:t>
      </w:r>
      <w:r w:rsidRPr="000071E4">
        <w:rPr>
          <w:rFonts w:asciiTheme="minorHAnsi" w:hAnsiTheme="minorHAnsi"/>
          <w:sz w:val="24"/>
          <w:szCs w:val="24"/>
        </w:rPr>
        <w:t xml:space="preserve"> for more information.</w:t>
      </w:r>
    </w:p>
    <w:p w14:paraId="00000008" w14:textId="259F06FC" w:rsidR="00E12622" w:rsidRPr="000071E4" w:rsidRDefault="000071E4">
      <w:pPr>
        <w:pStyle w:val="Normal1"/>
        <w:numPr>
          <w:ilvl w:val="1"/>
          <w:numId w:val="2"/>
        </w:numPr>
        <w:rPr>
          <w:rFonts w:asciiTheme="minorHAnsi" w:hAnsiTheme="minorHAnsi"/>
          <w:sz w:val="24"/>
          <w:szCs w:val="24"/>
        </w:rPr>
      </w:pPr>
      <w:r w:rsidRPr="000071E4">
        <w:rPr>
          <w:rFonts w:asciiTheme="minorHAnsi" w:hAnsiTheme="minorHAnsi"/>
          <w:b/>
          <w:sz w:val="24"/>
          <w:szCs w:val="24"/>
        </w:rPr>
        <w:t>Licensure Program/Course:</w:t>
      </w:r>
      <w:r w:rsidRPr="000071E4">
        <w:rPr>
          <w:rFonts w:asciiTheme="minorHAnsi" w:hAnsiTheme="minorHAnsi"/>
          <w:sz w:val="24"/>
          <w:szCs w:val="24"/>
        </w:rPr>
        <w:t xml:space="preserve"> A licensure program or course is any program or course that either issues a license to students upon completion or that prepares students to take a licensure exam or to meet specific licensure requirements for employment in an occupation.</w:t>
      </w:r>
    </w:p>
    <w:p w14:paraId="00000009" w14:textId="409C32DC" w:rsidR="00E12622" w:rsidRPr="000071E4" w:rsidRDefault="000071E4">
      <w:pPr>
        <w:pStyle w:val="Normal1"/>
        <w:numPr>
          <w:ilvl w:val="1"/>
          <w:numId w:val="2"/>
        </w:numPr>
        <w:rPr>
          <w:rFonts w:asciiTheme="minorHAnsi" w:hAnsiTheme="minorHAnsi"/>
          <w:sz w:val="24"/>
          <w:szCs w:val="24"/>
        </w:rPr>
      </w:pPr>
      <w:r w:rsidRPr="000071E4">
        <w:rPr>
          <w:rFonts w:asciiTheme="minorHAnsi" w:hAnsiTheme="minorHAnsi"/>
          <w:b/>
          <w:sz w:val="24"/>
          <w:szCs w:val="24"/>
        </w:rPr>
        <w:t>Student Disclosure:</w:t>
      </w:r>
      <w:r w:rsidRPr="000071E4">
        <w:rPr>
          <w:rFonts w:asciiTheme="minorHAnsi" w:hAnsiTheme="minorHAnsi"/>
          <w:sz w:val="24"/>
          <w:szCs w:val="24"/>
        </w:rPr>
        <w:t xml:space="preserve"> F</w:t>
      </w:r>
      <w:r w:rsidR="00CE5F1C">
        <w:rPr>
          <w:rFonts w:asciiTheme="minorHAnsi" w:hAnsiTheme="minorHAnsi"/>
          <w:sz w:val="24"/>
          <w:szCs w:val="24"/>
        </w:rPr>
        <w:t xml:space="preserve">or the purposes of this document, </w:t>
      </w:r>
      <w:r w:rsidRPr="000071E4">
        <w:rPr>
          <w:rFonts w:asciiTheme="minorHAnsi" w:hAnsiTheme="minorHAnsi"/>
          <w:sz w:val="24"/>
          <w:szCs w:val="24"/>
        </w:rPr>
        <w:t xml:space="preserve">a student disclosure is the communication to students of a specific piece of information about a license, a licensure or licensure preparation program or course, or an institution that is required for compliance with the 2019 state authorization federal regulations and/or NC-SARA standards. </w:t>
      </w:r>
    </w:p>
    <w:p w14:paraId="71D7EE69" w14:textId="7242D4CA" w:rsidR="000071E4" w:rsidRDefault="00FA347A" w:rsidP="000071E4">
      <w:pPr>
        <w:pStyle w:val="Heading1"/>
        <w:numPr>
          <w:ilvl w:val="0"/>
          <w:numId w:val="2"/>
        </w:numPr>
        <w:rPr>
          <w:rFonts w:asciiTheme="minorHAnsi" w:hAnsiTheme="minorHAnsi"/>
          <w:b/>
          <w:sz w:val="24"/>
          <w:szCs w:val="24"/>
        </w:rPr>
      </w:pPr>
      <w:bookmarkStart w:id="2" w:name="_wlug66wefxap" w:colFirst="0" w:colLast="0"/>
      <w:bookmarkEnd w:id="2"/>
      <w:r>
        <w:rPr>
          <w:rFonts w:asciiTheme="minorHAnsi" w:hAnsiTheme="minorHAnsi"/>
          <w:b/>
          <w:sz w:val="24"/>
          <w:szCs w:val="24"/>
        </w:rPr>
        <w:t>Procedures</w:t>
      </w:r>
      <w:r w:rsidR="000071E4" w:rsidRPr="000071E4">
        <w:rPr>
          <w:rFonts w:asciiTheme="minorHAnsi" w:hAnsiTheme="minorHAnsi"/>
          <w:b/>
          <w:sz w:val="24"/>
          <w:szCs w:val="24"/>
        </w:rPr>
        <w:t xml:space="preserve"> Regarding the Determination of States in which Licensure Programs/Courses May Be Valid</w:t>
      </w:r>
    </w:p>
    <w:p w14:paraId="0000000B" w14:textId="699817D6" w:rsidR="00E12622" w:rsidRPr="000071E4" w:rsidRDefault="000071E4" w:rsidP="000071E4">
      <w:pPr>
        <w:pStyle w:val="Normal1"/>
      </w:pPr>
      <w:r w:rsidRPr="000071E4">
        <w:rPr>
          <w:rFonts w:asciiTheme="minorHAnsi" w:hAnsiTheme="minorHAnsi"/>
          <w:sz w:val="24"/>
          <w:szCs w:val="24"/>
        </w:rPr>
        <w:t xml:space="preserve">Institutions must make a determination of the state in which a student is located both at the time of the student’s initial enrollment in an educational program and upon formal receipt of information from the student that </w:t>
      </w:r>
      <w:r w:rsidR="00224B25">
        <w:rPr>
          <w:rFonts w:asciiTheme="minorHAnsi" w:hAnsiTheme="minorHAnsi"/>
          <w:sz w:val="24"/>
          <w:szCs w:val="24"/>
        </w:rPr>
        <w:t>her/his</w:t>
      </w:r>
      <w:r w:rsidR="00224B25" w:rsidRPr="000071E4">
        <w:rPr>
          <w:rFonts w:asciiTheme="minorHAnsi" w:hAnsiTheme="minorHAnsi"/>
          <w:sz w:val="24"/>
          <w:szCs w:val="24"/>
        </w:rPr>
        <w:t xml:space="preserve"> </w:t>
      </w:r>
      <w:r w:rsidRPr="000071E4">
        <w:rPr>
          <w:rFonts w:asciiTheme="minorHAnsi" w:hAnsiTheme="minorHAnsi"/>
          <w:sz w:val="24"/>
          <w:szCs w:val="24"/>
        </w:rPr>
        <w:t>location has changed. This location will then be used for the purpose of disclosing state-specific professional licensure information. In addition to general disclosures on their website, institutions are required to make direct disclosures to students</w:t>
      </w:r>
      <w:r w:rsidR="00BE7DD8">
        <w:rPr>
          <w:rFonts w:asciiTheme="minorHAnsi" w:hAnsiTheme="minorHAnsi"/>
          <w:sz w:val="24"/>
          <w:szCs w:val="24"/>
        </w:rPr>
        <w:t xml:space="preserve">, </w:t>
      </w:r>
      <w:proofErr w:type="gramStart"/>
      <w:r w:rsidR="00BE7DD8">
        <w:rPr>
          <w:rFonts w:asciiTheme="minorHAnsi" w:hAnsiTheme="minorHAnsi"/>
          <w:sz w:val="24"/>
          <w:szCs w:val="24"/>
        </w:rPr>
        <w:t>i.e.</w:t>
      </w:r>
      <w:proofErr w:type="gramEnd"/>
      <w:r w:rsidRPr="000071E4">
        <w:rPr>
          <w:rFonts w:asciiTheme="minorHAnsi" w:hAnsiTheme="minorHAnsi"/>
          <w:sz w:val="24"/>
          <w:szCs w:val="24"/>
        </w:rPr>
        <w:t xml:space="preserve"> prospective and enrolled students must be told in writing (which may include email or other electronic communication) whether a degree </w:t>
      </w:r>
      <w:r w:rsidRPr="000071E4">
        <w:rPr>
          <w:rFonts w:asciiTheme="minorHAnsi" w:hAnsiTheme="minorHAnsi"/>
          <w:sz w:val="24"/>
          <w:szCs w:val="24"/>
        </w:rPr>
        <w:lastRenderedPageBreak/>
        <w:t>program meets the educational requirements for licensing in the sta</w:t>
      </w:r>
      <w:r w:rsidR="00CE5F1C">
        <w:rPr>
          <w:rFonts w:asciiTheme="minorHAnsi" w:hAnsiTheme="minorHAnsi"/>
          <w:sz w:val="24"/>
          <w:szCs w:val="24"/>
        </w:rPr>
        <w:t xml:space="preserve">te where they are located. These procedures </w:t>
      </w:r>
      <w:r w:rsidRPr="000071E4">
        <w:rPr>
          <w:rFonts w:asciiTheme="minorHAnsi" w:hAnsiTheme="minorHAnsi"/>
          <w:sz w:val="24"/>
          <w:szCs w:val="24"/>
        </w:rPr>
        <w:t>appl</w:t>
      </w:r>
      <w:r w:rsidR="00CE5F1C">
        <w:rPr>
          <w:rFonts w:asciiTheme="minorHAnsi" w:hAnsiTheme="minorHAnsi"/>
          <w:sz w:val="24"/>
          <w:szCs w:val="24"/>
        </w:rPr>
        <w:t>y</w:t>
      </w:r>
      <w:r w:rsidRPr="000071E4">
        <w:rPr>
          <w:rFonts w:asciiTheme="minorHAnsi" w:hAnsiTheme="minorHAnsi"/>
          <w:sz w:val="24"/>
          <w:szCs w:val="24"/>
        </w:rPr>
        <w:t xml:space="preserve"> to all students and all academic programs or courses leading to professional licensure, regardless of mode of delivery. It is possible to communicate to students that it has not yet been determined whether or not a program or course meets the educational requirements for licensing in the state where they are located, as long as “reasonable effort” has been made to glean this information.</w:t>
      </w:r>
    </w:p>
    <w:p w14:paraId="0000000C" w14:textId="77777777" w:rsidR="00E12622" w:rsidRPr="000071E4" w:rsidRDefault="00E12622">
      <w:pPr>
        <w:pStyle w:val="Normal1"/>
        <w:spacing w:line="266" w:lineRule="auto"/>
        <w:ind w:left="720"/>
        <w:rPr>
          <w:rFonts w:asciiTheme="minorHAnsi" w:hAnsiTheme="minorHAnsi"/>
          <w:sz w:val="24"/>
          <w:szCs w:val="24"/>
        </w:rPr>
      </w:pPr>
    </w:p>
    <w:p w14:paraId="3B2D5A92" w14:textId="77777777" w:rsidR="008D2CE2" w:rsidRDefault="000071E4" w:rsidP="008D2CE2">
      <w:pPr>
        <w:pStyle w:val="Normal1"/>
        <w:numPr>
          <w:ilvl w:val="0"/>
          <w:numId w:val="1"/>
        </w:numPr>
        <w:spacing w:line="266" w:lineRule="auto"/>
        <w:rPr>
          <w:rFonts w:asciiTheme="minorHAnsi" w:hAnsiTheme="minorHAnsi"/>
          <w:sz w:val="24"/>
          <w:szCs w:val="24"/>
        </w:rPr>
      </w:pPr>
      <w:r w:rsidRPr="000071E4">
        <w:rPr>
          <w:rFonts w:asciiTheme="minorHAnsi" w:hAnsiTheme="minorHAnsi"/>
          <w:sz w:val="24"/>
          <w:szCs w:val="24"/>
        </w:rPr>
        <w:t>Reasonable Effort</w:t>
      </w:r>
    </w:p>
    <w:p w14:paraId="00000016" w14:textId="0150E192" w:rsidR="00E12622" w:rsidRPr="008D2CE2" w:rsidRDefault="000071E4" w:rsidP="008D2CE2">
      <w:pPr>
        <w:pStyle w:val="Normal1"/>
        <w:numPr>
          <w:ilvl w:val="1"/>
          <w:numId w:val="1"/>
        </w:numPr>
        <w:spacing w:line="266" w:lineRule="auto"/>
        <w:rPr>
          <w:rFonts w:asciiTheme="minorHAnsi" w:hAnsiTheme="minorHAnsi"/>
          <w:sz w:val="24"/>
          <w:szCs w:val="24"/>
        </w:rPr>
      </w:pPr>
      <w:r w:rsidRPr="008D2CE2">
        <w:rPr>
          <w:rFonts w:asciiTheme="minorHAnsi" w:hAnsiTheme="minorHAnsi"/>
          <w:b/>
          <w:color w:val="222222"/>
          <w:sz w:val="24"/>
          <w:szCs w:val="24"/>
          <w:highlight w:val="white"/>
        </w:rPr>
        <w:t>If licensing for this particular field is overseen at the national level</w:t>
      </w:r>
      <w:r w:rsidRPr="008D2CE2">
        <w:rPr>
          <w:rFonts w:asciiTheme="minorHAnsi" w:hAnsiTheme="minorHAnsi"/>
          <w:color w:val="222222"/>
          <w:sz w:val="24"/>
          <w:szCs w:val="24"/>
          <w:highlight w:val="white"/>
        </w:rPr>
        <w:t>,</w:t>
      </w:r>
      <w:r w:rsidRPr="008D2CE2">
        <w:rPr>
          <w:rFonts w:asciiTheme="minorHAnsi" w:hAnsiTheme="minorHAnsi"/>
          <w:b/>
          <w:color w:val="222222"/>
          <w:sz w:val="24"/>
          <w:szCs w:val="24"/>
          <w:highlight w:val="white"/>
        </w:rPr>
        <w:t xml:space="preserve"> </w:t>
      </w:r>
      <w:r w:rsidRPr="008D2CE2">
        <w:rPr>
          <w:rFonts w:asciiTheme="minorHAnsi" w:hAnsiTheme="minorHAnsi"/>
          <w:color w:val="222222"/>
          <w:sz w:val="24"/>
          <w:szCs w:val="24"/>
          <w:highlight w:val="white"/>
        </w:rPr>
        <w:t xml:space="preserve">the Department Chair (DC), Program Coordinator (PC), or identified designee will check annually to ensure that </w:t>
      </w:r>
      <w:r w:rsidR="0087052D">
        <w:rPr>
          <w:rFonts w:asciiTheme="minorHAnsi" w:hAnsiTheme="minorHAnsi"/>
          <w:color w:val="222222"/>
          <w:sz w:val="24"/>
          <w:szCs w:val="24"/>
          <w:highlight w:val="white"/>
        </w:rPr>
        <w:t>the</w:t>
      </w:r>
      <w:r w:rsidR="0087052D" w:rsidRPr="008D2CE2">
        <w:rPr>
          <w:rFonts w:asciiTheme="minorHAnsi" w:hAnsiTheme="minorHAnsi"/>
          <w:color w:val="222222"/>
          <w:sz w:val="24"/>
          <w:szCs w:val="24"/>
          <w:highlight w:val="white"/>
        </w:rPr>
        <w:t xml:space="preserve"> </w:t>
      </w:r>
      <w:r w:rsidRPr="008D2CE2">
        <w:rPr>
          <w:rFonts w:asciiTheme="minorHAnsi" w:hAnsiTheme="minorHAnsi"/>
          <w:color w:val="222222"/>
          <w:sz w:val="24"/>
          <w:szCs w:val="24"/>
          <w:highlight w:val="white"/>
        </w:rPr>
        <w:t xml:space="preserve">institution and the program or course </w:t>
      </w:r>
      <w:r w:rsidR="00224B25">
        <w:rPr>
          <w:rFonts w:asciiTheme="minorHAnsi" w:hAnsiTheme="minorHAnsi"/>
          <w:color w:val="222222"/>
          <w:sz w:val="24"/>
          <w:szCs w:val="24"/>
          <w:highlight w:val="white"/>
        </w:rPr>
        <w:t>are</w:t>
      </w:r>
      <w:r w:rsidRPr="008D2CE2">
        <w:rPr>
          <w:rFonts w:asciiTheme="minorHAnsi" w:hAnsiTheme="minorHAnsi"/>
          <w:color w:val="222222"/>
          <w:sz w:val="24"/>
          <w:szCs w:val="24"/>
          <w:highlight w:val="white"/>
        </w:rPr>
        <w:t xml:space="preserve"> in compliance with any standards or requirements identified by the national government or organization overseeing the pertinent licensing. Students enrolled in the licensure program or course will have continuous access to the public-facing site of this national oversight body. </w:t>
      </w:r>
      <w:r w:rsidRPr="008D2CE2">
        <w:rPr>
          <w:rFonts w:asciiTheme="minorHAnsi" w:eastAsia="Roboto" w:hAnsiTheme="minorHAnsi" w:cs="Roboto"/>
          <w:sz w:val="24"/>
          <w:szCs w:val="24"/>
          <w:highlight w:val="white"/>
        </w:rPr>
        <w:t>Access can take the form of a link on the website.</w:t>
      </w:r>
    </w:p>
    <w:p w14:paraId="00000019" w14:textId="77777777" w:rsidR="00E12622" w:rsidRPr="000071E4" w:rsidRDefault="000071E4">
      <w:pPr>
        <w:pStyle w:val="Normal1"/>
        <w:numPr>
          <w:ilvl w:val="0"/>
          <w:numId w:val="1"/>
        </w:numPr>
        <w:ind w:right="600"/>
        <w:rPr>
          <w:rFonts w:asciiTheme="minorHAnsi" w:hAnsiTheme="minorHAnsi"/>
          <w:color w:val="222222"/>
          <w:sz w:val="24"/>
          <w:szCs w:val="24"/>
          <w:highlight w:val="white"/>
        </w:rPr>
      </w:pPr>
      <w:r w:rsidRPr="000071E4">
        <w:rPr>
          <w:rFonts w:asciiTheme="minorHAnsi" w:hAnsiTheme="minorHAnsi"/>
          <w:color w:val="222222"/>
          <w:sz w:val="24"/>
          <w:szCs w:val="24"/>
          <w:highlight w:val="white"/>
        </w:rPr>
        <w:t xml:space="preserve">Website Disclosures </w:t>
      </w:r>
    </w:p>
    <w:p w14:paraId="0000001A" w14:textId="355D311A" w:rsidR="00E12622" w:rsidRPr="000071E4" w:rsidRDefault="000071E4">
      <w:pPr>
        <w:pStyle w:val="Normal1"/>
        <w:numPr>
          <w:ilvl w:val="1"/>
          <w:numId w:val="1"/>
        </w:numPr>
        <w:ind w:right="600"/>
        <w:rPr>
          <w:rFonts w:asciiTheme="minorHAnsi" w:hAnsiTheme="minorHAnsi"/>
          <w:color w:val="222222"/>
          <w:sz w:val="24"/>
          <w:szCs w:val="24"/>
          <w:highlight w:val="white"/>
        </w:rPr>
      </w:pPr>
      <w:r w:rsidRPr="000071E4">
        <w:rPr>
          <w:rFonts w:asciiTheme="minorHAnsi" w:hAnsiTheme="minorHAnsi"/>
          <w:color w:val="222222"/>
          <w:sz w:val="24"/>
          <w:szCs w:val="24"/>
          <w:highlight w:val="white"/>
        </w:rPr>
        <w:t xml:space="preserve">Program web pages must include general information about whether or not the licensure program or course meets the educational requirements for </w:t>
      </w:r>
      <w:proofErr w:type="gramStart"/>
      <w:r w:rsidRPr="000071E4">
        <w:rPr>
          <w:rFonts w:asciiTheme="minorHAnsi" w:hAnsiTheme="minorHAnsi"/>
          <w:color w:val="222222"/>
          <w:sz w:val="24"/>
          <w:szCs w:val="24"/>
          <w:highlight w:val="white"/>
        </w:rPr>
        <w:t>Hawai‘</w:t>
      </w:r>
      <w:proofErr w:type="gramEnd"/>
      <w:r w:rsidRPr="000071E4">
        <w:rPr>
          <w:rFonts w:asciiTheme="minorHAnsi" w:hAnsiTheme="minorHAnsi"/>
          <w:color w:val="222222"/>
          <w:sz w:val="24"/>
          <w:szCs w:val="24"/>
          <w:highlight w:val="white"/>
        </w:rPr>
        <w:t xml:space="preserve">i and for </w:t>
      </w:r>
      <w:r w:rsidR="00B606AD">
        <w:rPr>
          <w:rFonts w:asciiTheme="minorHAnsi" w:hAnsiTheme="minorHAnsi"/>
          <w:color w:val="222222"/>
          <w:sz w:val="24"/>
          <w:szCs w:val="24"/>
          <w:highlight w:val="white"/>
        </w:rPr>
        <w:t xml:space="preserve">all </w:t>
      </w:r>
      <w:r w:rsidRPr="000071E4">
        <w:rPr>
          <w:rFonts w:asciiTheme="minorHAnsi" w:hAnsiTheme="minorHAnsi"/>
          <w:color w:val="222222"/>
          <w:sz w:val="24"/>
          <w:szCs w:val="24"/>
          <w:highlight w:val="white"/>
        </w:rPr>
        <w:t xml:space="preserve">other states. </w:t>
      </w:r>
      <w:r w:rsidR="00B606AD">
        <w:rPr>
          <w:rFonts w:asciiTheme="minorHAnsi" w:hAnsiTheme="minorHAnsi"/>
          <w:color w:val="222222"/>
          <w:sz w:val="24"/>
          <w:szCs w:val="24"/>
          <w:highlight w:val="white"/>
        </w:rPr>
        <w:t xml:space="preserve">Each state should appear in </w:t>
      </w:r>
      <w:r w:rsidRPr="000071E4">
        <w:rPr>
          <w:rFonts w:asciiTheme="minorHAnsi" w:hAnsiTheme="minorHAnsi"/>
          <w:color w:val="222222"/>
          <w:sz w:val="24"/>
          <w:szCs w:val="24"/>
          <w:highlight w:val="white"/>
        </w:rPr>
        <w:t xml:space="preserve">one of the </w:t>
      </w:r>
      <w:r w:rsidR="00B606AD">
        <w:rPr>
          <w:rFonts w:asciiTheme="minorHAnsi" w:hAnsiTheme="minorHAnsi"/>
          <w:color w:val="222222"/>
          <w:sz w:val="24"/>
          <w:szCs w:val="24"/>
          <w:highlight w:val="white"/>
        </w:rPr>
        <w:t xml:space="preserve">following </w:t>
      </w:r>
      <w:r w:rsidRPr="000071E4">
        <w:rPr>
          <w:rFonts w:asciiTheme="minorHAnsi" w:hAnsiTheme="minorHAnsi"/>
          <w:color w:val="222222"/>
          <w:sz w:val="24"/>
          <w:szCs w:val="24"/>
          <w:highlight w:val="white"/>
        </w:rPr>
        <w:t>lists</w:t>
      </w:r>
      <w:r w:rsidR="00B606AD">
        <w:rPr>
          <w:rFonts w:asciiTheme="minorHAnsi" w:hAnsiTheme="minorHAnsi"/>
          <w:color w:val="222222"/>
          <w:sz w:val="24"/>
          <w:szCs w:val="24"/>
          <w:highlight w:val="white"/>
        </w:rPr>
        <w:t>:</w:t>
      </w:r>
      <w:r w:rsidRPr="000071E4">
        <w:rPr>
          <w:rFonts w:asciiTheme="minorHAnsi" w:hAnsiTheme="minorHAnsi"/>
          <w:color w:val="222222"/>
          <w:sz w:val="24"/>
          <w:szCs w:val="24"/>
          <w:highlight w:val="white"/>
        </w:rPr>
        <w:t xml:space="preserve"> </w:t>
      </w:r>
    </w:p>
    <w:p w14:paraId="0000001B" w14:textId="77777777" w:rsidR="00E12622" w:rsidRPr="000071E4" w:rsidRDefault="000071E4">
      <w:pPr>
        <w:pStyle w:val="Normal1"/>
        <w:numPr>
          <w:ilvl w:val="2"/>
          <w:numId w:val="1"/>
        </w:numPr>
        <w:ind w:right="600"/>
        <w:rPr>
          <w:rFonts w:asciiTheme="minorHAnsi" w:hAnsiTheme="minorHAnsi"/>
          <w:color w:val="222222"/>
          <w:sz w:val="24"/>
          <w:szCs w:val="24"/>
          <w:highlight w:val="white"/>
        </w:rPr>
      </w:pPr>
      <w:r w:rsidRPr="000071E4">
        <w:rPr>
          <w:rFonts w:asciiTheme="minorHAnsi" w:hAnsiTheme="minorHAnsi"/>
          <w:color w:val="222222"/>
          <w:sz w:val="24"/>
          <w:szCs w:val="24"/>
          <w:highlight w:val="white"/>
        </w:rPr>
        <w:t xml:space="preserve">States for which the curriculum DOES meet the educational requirements for licensure or licensure preparation (including </w:t>
      </w:r>
      <w:proofErr w:type="gramStart"/>
      <w:r w:rsidRPr="000071E4">
        <w:rPr>
          <w:rFonts w:asciiTheme="minorHAnsi" w:hAnsiTheme="minorHAnsi"/>
          <w:color w:val="222222"/>
          <w:sz w:val="24"/>
          <w:szCs w:val="24"/>
          <w:highlight w:val="white"/>
        </w:rPr>
        <w:t>Hawai‘</w:t>
      </w:r>
      <w:proofErr w:type="gramEnd"/>
      <w:r w:rsidRPr="000071E4">
        <w:rPr>
          <w:rFonts w:asciiTheme="minorHAnsi" w:hAnsiTheme="minorHAnsi"/>
          <w:color w:val="222222"/>
          <w:sz w:val="24"/>
          <w:szCs w:val="24"/>
          <w:highlight w:val="white"/>
        </w:rPr>
        <w:t>i)</w:t>
      </w:r>
    </w:p>
    <w:p w14:paraId="0000001C" w14:textId="77777777" w:rsidR="00E12622" w:rsidRPr="000071E4" w:rsidRDefault="000071E4">
      <w:pPr>
        <w:pStyle w:val="Normal1"/>
        <w:numPr>
          <w:ilvl w:val="2"/>
          <w:numId w:val="1"/>
        </w:numPr>
        <w:ind w:right="600"/>
        <w:rPr>
          <w:rFonts w:asciiTheme="minorHAnsi" w:hAnsiTheme="minorHAnsi"/>
          <w:color w:val="222222"/>
          <w:sz w:val="24"/>
          <w:szCs w:val="24"/>
          <w:highlight w:val="white"/>
        </w:rPr>
      </w:pPr>
      <w:r w:rsidRPr="000071E4">
        <w:rPr>
          <w:rFonts w:asciiTheme="minorHAnsi" w:hAnsiTheme="minorHAnsi"/>
          <w:color w:val="222222"/>
          <w:sz w:val="24"/>
          <w:szCs w:val="24"/>
          <w:highlight w:val="white"/>
        </w:rPr>
        <w:t xml:space="preserve">States for which the curriculum DOES NOT meet the educational requirements for licensure or licensure preparation </w:t>
      </w:r>
    </w:p>
    <w:p w14:paraId="0000001D" w14:textId="77777777" w:rsidR="00E12622" w:rsidRPr="000071E4" w:rsidRDefault="000071E4">
      <w:pPr>
        <w:pStyle w:val="Normal1"/>
        <w:numPr>
          <w:ilvl w:val="2"/>
          <w:numId w:val="1"/>
        </w:numPr>
        <w:ind w:right="600"/>
        <w:rPr>
          <w:rFonts w:asciiTheme="minorHAnsi" w:hAnsiTheme="minorHAnsi"/>
          <w:color w:val="222222"/>
          <w:sz w:val="24"/>
          <w:szCs w:val="24"/>
          <w:highlight w:val="white"/>
        </w:rPr>
      </w:pPr>
      <w:r w:rsidRPr="000071E4">
        <w:rPr>
          <w:rFonts w:asciiTheme="minorHAnsi" w:hAnsiTheme="minorHAnsi"/>
          <w:color w:val="222222"/>
          <w:sz w:val="24"/>
          <w:szCs w:val="24"/>
          <w:highlight w:val="white"/>
        </w:rPr>
        <w:t xml:space="preserve">States for which it has NOT YET BEEN DETERMINED whether or not the curriculum meets the educational requirements for licensure or licensure preparation </w:t>
      </w:r>
    </w:p>
    <w:p w14:paraId="0000001E" w14:textId="06F55A24" w:rsidR="00E12622" w:rsidRPr="000071E4" w:rsidRDefault="000071E4">
      <w:pPr>
        <w:pStyle w:val="Normal1"/>
        <w:numPr>
          <w:ilvl w:val="1"/>
          <w:numId w:val="1"/>
        </w:numPr>
        <w:ind w:right="600"/>
        <w:rPr>
          <w:rFonts w:asciiTheme="minorHAnsi" w:hAnsiTheme="minorHAnsi"/>
          <w:color w:val="222222"/>
          <w:sz w:val="24"/>
          <w:szCs w:val="24"/>
          <w:highlight w:val="white"/>
        </w:rPr>
      </w:pPr>
      <w:r w:rsidRPr="000071E4">
        <w:rPr>
          <w:rFonts w:asciiTheme="minorHAnsi" w:hAnsiTheme="minorHAnsi"/>
          <w:color w:val="222222"/>
          <w:sz w:val="24"/>
          <w:szCs w:val="24"/>
          <w:highlight w:val="white"/>
        </w:rPr>
        <w:t xml:space="preserve">Suggested language </w:t>
      </w:r>
      <w:r w:rsidR="00B606AD">
        <w:rPr>
          <w:rFonts w:asciiTheme="minorHAnsi" w:hAnsiTheme="minorHAnsi"/>
          <w:color w:val="222222"/>
          <w:sz w:val="24"/>
          <w:szCs w:val="24"/>
          <w:highlight w:val="white"/>
        </w:rPr>
        <w:t xml:space="preserve">for the required lists </w:t>
      </w:r>
      <w:r w:rsidRPr="000071E4">
        <w:rPr>
          <w:rFonts w:asciiTheme="minorHAnsi" w:hAnsiTheme="minorHAnsi"/>
          <w:color w:val="222222"/>
          <w:sz w:val="24"/>
          <w:szCs w:val="24"/>
          <w:highlight w:val="white"/>
        </w:rPr>
        <w:t>for web pages:</w:t>
      </w:r>
    </w:p>
    <w:p w14:paraId="00000020" w14:textId="77777777" w:rsidR="00E12622" w:rsidRPr="000071E4" w:rsidRDefault="000071E4" w:rsidP="004B7212">
      <w:pPr>
        <w:pStyle w:val="Normal1"/>
        <w:numPr>
          <w:ilvl w:val="0"/>
          <w:numId w:val="9"/>
        </w:numPr>
        <w:ind w:right="600"/>
        <w:rPr>
          <w:rFonts w:asciiTheme="minorHAnsi" w:hAnsiTheme="minorHAnsi"/>
          <w:color w:val="222222"/>
          <w:sz w:val="24"/>
          <w:szCs w:val="24"/>
          <w:highlight w:val="white"/>
        </w:rPr>
      </w:pPr>
      <w:r w:rsidRPr="000071E4">
        <w:rPr>
          <w:rFonts w:asciiTheme="minorHAnsi" w:hAnsiTheme="minorHAnsi"/>
          <w:i/>
          <w:color w:val="222222"/>
          <w:sz w:val="24"/>
          <w:szCs w:val="24"/>
          <w:highlight w:val="white"/>
        </w:rPr>
        <w:t xml:space="preserve">The curriculum in this academic program or course meets the requirements for licensure or licensure preparation in the following states: </w:t>
      </w:r>
      <w:proofErr w:type="gramStart"/>
      <w:r w:rsidRPr="000071E4">
        <w:rPr>
          <w:rFonts w:asciiTheme="minorHAnsi" w:hAnsiTheme="minorHAnsi"/>
          <w:i/>
          <w:color w:val="222222"/>
          <w:sz w:val="24"/>
          <w:szCs w:val="24"/>
          <w:highlight w:val="white"/>
        </w:rPr>
        <w:t>Hawai‘</w:t>
      </w:r>
      <w:proofErr w:type="gramEnd"/>
      <w:r w:rsidRPr="000071E4">
        <w:rPr>
          <w:rFonts w:asciiTheme="minorHAnsi" w:hAnsiTheme="minorHAnsi"/>
          <w:i/>
          <w:color w:val="222222"/>
          <w:sz w:val="24"/>
          <w:szCs w:val="24"/>
          <w:highlight w:val="white"/>
        </w:rPr>
        <w:t>i [include other states as appropriate]. If you seek licensure in one of these states, you are also encouraged to contact the licensure or certification authority in that state for more information.</w:t>
      </w:r>
    </w:p>
    <w:p w14:paraId="00000021" w14:textId="77777777" w:rsidR="00E12622" w:rsidRPr="000071E4" w:rsidRDefault="000071E4" w:rsidP="004B7212">
      <w:pPr>
        <w:pStyle w:val="Normal1"/>
        <w:numPr>
          <w:ilvl w:val="0"/>
          <w:numId w:val="9"/>
        </w:numPr>
        <w:ind w:right="600"/>
        <w:rPr>
          <w:rFonts w:asciiTheme="minorHAnsi" w:hAnsiTheme="minorHAnsi"/>
          <w:i/>
          <w:color w:val="222222"/>
          <w:sz w:val="24"/>
          <w:szCs w:val="24"/>
          <w:highlight w:val="white"/>
        </w:rPr>
      </w:pPr>
      <w:r w:rsidRPr="000071E4">
        <w:rPr>
          <w:rFonts w:asciiTheme="minorHAnsi" w:hAnsiTheme="minorHAnsi"/>
          <w:i/>
          <w:color w:val="222222"/>
          <w:sz w:val="24"/>
          <w:szCs w:val="24"/>
          <w:highlight w:val="white"/>
        </w:rPr>
        <w:t xml:space="preserve">The curriculum in this academic program or course does not meet the requirements for licensure or licensure </w:t>
      </w:r>
      <w:r w:rsidRPr="000071E4">
        <w:rPr>
          <w:rFonts w:asciiTheme="minorHAnsi" w:hAnsiTheme="minorHAnsi"/>
          <w:i/>
          <w:color w:val="222222"/>
          <w:sz w:val="24"/>
          <w:szCs w:val="24"/>
          <w:highlight w:val="white"/>
        </w:rPr>
        <w:lastRenderedPageBreak/>
        <w:t>preparation in the following states: [list states as appropriate]. If you seek licensure in one of these states, you are encouraged to contact the licensure or certification authority in that state for more information.</w:t>
      </w:r>
    </w:p>
    <w:p w14:paraId="00000022" w14:textId="77777777" w:rsidR="00E12622" w:rsidRPr="000071E4" w:rsidRDefault="000071E4" w:rsidP="004B7212">
      <w:pPr>
        <w:pStyle w:val="Normal1"/>
        <w:numPr>
          <w:ilvl w:val="0"/>
          <w:numId w:val="9"/>
        </w:numPr>
        <w:ind w:right="600"/>
        <w:rPr>
          <w:rFonts w:asciiTheme="minorHAnsi" w:hAnsiTheme="minorHAnsi"/>
          <w:i/>
          <w:color w:val="222222"/>
          <w:sz w:val="24"/>
          <w:szCs w:val="24"/>
          <w:highlight w:val="white"/>
        </w:rPr>
      </w:pPr>
      <w:r w:rsidRPr="000071E4">
        <w:rPr>
          <w:rFonts w:asciiTheme="minorHAnsi" w:hAnsiTheme="minorHAnsi"/>
          <w:i/>
          <w:color w:val="222222"/>
          <w:sz w:val="24"/>
          <w:szCs w:val="24"/>
          <w:highlight w:val="white"/>
        </w:rPr>
        <w:t>It has not yet been determined whether or not the curriculum in this academic program or course meets the requirements for licensure or licensure preparation in the following states: [list states as appropriate and the respective licensing board contact information]. If you seek licensure in one of these states, you are encouraged to contact the licensure or certification authority in that state for more information.</w:t>
      </w:r>
    </w:p>
    <w:p w14:paraId="00000028" w14:textId="77777777" w:rsidR="00E12622" w:rsidRPr="000071E4" w:rsidRDefault="000071E4">
      <w:pPr>
        <w:pStyle w:val="Normal1"/>
        <w:numPr>
          <w:ilvl w:val="0"/>
          <w:numId w:val="1"/>
        </w:numPr>
        <w:ind w:right="600"/>
        <w:rPr>
          <w:rFonts w:asciiTheme="minorHAnsi" w:hAnsiTheme="minorHAnsi"/>
          <w:color w:val="222222"/>
          <w:sz w:val="24"/>
          <w:szCs w:val="24"/>
          <w:highlight w:val="white"/>
        </w:rPr>
      </w:pPr>
      <w:r w:rsidRPr="000071E4">
        <w:rPr>
          <w:rFonts w:asciiTheme="minorHAnsi" w:hAnsiTheme="minorHAnsi"/>
          <w:color w:val="222222"/>
          <w:sz w:val="24"/>
          <w:szCs w:val="24"/>
          <w:highlight w:val="white"/>
        </w:rPr>
        <w:t xml:space="preserve">Direct Disclosures </w:t>
      </w:r>
    </w:p>
    <w:p w14:paraId="00000029" w14:textId="5B550892" w:rsidR="00E12622" w:rsidRPr="000071E4" w:rsidRDefault="000071E4">
      <w:pPr>
        <w:pStyle w:val="Normal1"/>
        <w:numPr>
          <w:ilvl w:val="1"/>
          <w:numId w:val="1"/>
        </w:numPr>
        <w:ind w:right="600"/>
        <w:rPr>
          <w:rFonts w:asciiTheme="minorHAnsi" w:hAnsiTheme="minorHAnsi"/>
          <w:color w:val="222222"/>
          <w:sz w:val="24"/>
          <w:szCs w:val="24"/>
          <w:highlight w:val="white"/>
        </w:rPr>
      </w:pPr>
      <w:r w:rsidRPr="000071E4">
        <w:rPr>
          <w:rFonts w:asciiTheme="minorHAnsi" w:hAnsiTheme="minorHAnsi"/>
          <w:sz w:val="24"/>
          <w:szCs w:val="24"/>
        </w:rPr>
        <w:t>For new students, the disclosure must be sent directly to the students before the student makes a financial commitment to enroll in the program (</w:t>
      </w:r>
      <w:proofErr w:type="gramStart"/>
      <w:r w:rsidRPr="000071E4">
        <w:rPr>
          <w:rFonts w:asciiTheme="minorHAnsi" w:hAnsiTheme="minorHAnsi"/>
          <w:sz w:val="24"/>
          <w:szCs w:val="24"/>
        </w:rPr>
        <w:t>i.e.</w:t>
      </w:r>
      <w:proofErr w:type="gramEnd"/>
      <w:r w:rsidRPr="000071E4">
        <w:rPr>
          <w:rFonts w:asciiTheme="minorHAnsi" w:hAnsiTheme="minorHAnsi"/>
          <w:sz w:val="24"/>
          <w:szCs w:val="24"/>
        </w:rPr>
        <w:t xml:space="preserve"> before the student’s first payment is due). </w:t>
      </w:r>
      <w:r w:rsidR="00B606AD">
        <w:rPr>
          <w:rFonts w:asciiTheme="minorHAnsi" w:hAnsiTheme="minorHAnsi"/>
          <w:color w:val="000000" w:themeColor="text1"/>
          <w:sz w:val="24"/>
          <w:szCs w:val="24"/>
        </w:rPr>
        <w:t>T</w:t>
      </w:r>
      <w:r w:rsidR="008D2CE2" w:rsidRPr="0021119B">
        <w:rPr>
          <w:rFonts w:asciiTheme="minorHAnsi" w:hAnsiTheme="minorHAnsi"/>
          <w:color w:val="000000" w:themeColor="text1"/>
          <w:sz w:val="24"/>
          <w:szCs w:val="24"/>
        </w:rPr>
        <w:t xml:space="preserve">he student will be sent the disclosure upon acceptance into the program and if the student’s location is not in </w:t>
      </w:r>
      <w:proofErr w:type="gramStart"/>
      <w:r w:rsidR="008D2CE2" w:rsidRPr="0021119B">
        <w:rPr>
          <w:rFonts w:asciiTheme="minorHAnsi" w:hAnsiTheme="minorHAnsi"/>
          <w:color w:val="000000" w:themeColor="text1"/>
          <w:sz w:val="24"/>
          <w:szCs w:val="24"/>
        </w:rPr>
        <w:t>Hawai‘</w:t>
      </w:r>
      <w:proofErr w:type="gramEnd"/>
      <w:r w:rsidR="008D2CE2" w:rsidRPr="0021119B">
        <w:rPr>
          <w:rFonts w:asciiTheme="minorHAnsi" w:hAnsiTheme="minorHAnsi"/>
          <w:color w:val="000000" w:themeColor="text1"/>
          <w:sz w:val="24"/>
          <w:szCs w:val="24"/>
        </w:rPr>
        <w:t>i</w:t>
      </w:r>
      <w:r w:rsidR="00B606AD">
        <w:rPr>
          <w:rFonts w:asciiTheme="minorHAnsi" w:hAnsiTheme="minorHAnsi"/>
          <w:color w:val="000000" w:themeColor="text1"/>
          <w:sz w:val="24"/>
          <w:szCs w:val="24"/>
        </w:rPr>
        <w:t>,</w:t>
      </w:r>
      <w:r w:rsidR="008D2CE2" w:rsidRPr="0021119B">
        <w:rPr>
          <w:rFonts w:asciiTheme="minorHAnsi" w:hAnsiTheme="minorHAnsi"/>
          <w:color w:val="000000" w:themeColor="text1"/>
          <w:sz w:val="24"/>
          <w:szCs w:val="24"/>
        </w:rPr>
        <w:t xml:space="preserve"> </w:t>
      </w:r>
      <w:r w:rsidR="00B606AD">
        <w:rPr>
          <w:rFonts w:asciiTheme="minorHAnsi" w:hAnsiTheme="minorHAnsi"/>
          <w:sz w:val="24"/>
          <w:szCs w:val="24"/>
        </w:rPr>
        <w:t>t</w:t>
      </w:r>
      <w:r w:rsidRPr="000071E4">
        <w:rPr>
          <w:rFonts w:asciiTheme="minorHAnsi" w:hAnsiTheme="minorHAnsi"/>
          <w:sz w:val="24"/>
          <w:szCs w:val="24"/>
        </w:rPr>
        <w:t xml:space="preserve">he determination of the </w:t>
      </w:r>
      <w:proofErr w:type="spellStart"/>
      <w:r w:rsidRPr="000071E4">
        <w:rPr>
          <w:rFonts w:asciiTheme="minorHAnsi" w:hAnsiTheme="minorHAnsi"/>
          <w:sz w:val="24"/>
          <w:szCs w:val="24"/>
        </w:rPr>
        <w:t>studentʻs</w:t>
      </w:r>
      <w:proofErr w:type="spellEnd"/>
      <w:r w:rsidRPr="000071E4">
        <w:rPr>
          <w:rFonts w:asciiTheme="minorHAnsi" w:hAnsiTheme="minorHAnsi"/>
          <w:sz w:val="24"/>
          <w:szCs w:val="24"/>
        </w:rPr>
        <w:t xml:space="preserve"> location will be made using the </w:t>
      </w:r>
      <w:proofErr w:type="spellStart"/>
      <w:r w:rsidRPr="000071E4">
        <w:rPr>
          <w:rFonts w:asciiTheme="minorHAnsi" w:hAnsiTheme="minorHAnsi"/>
          <w:sz w:val="24"/>
          <w:szCs w:val="24"/>
        </w:rPr>
        <w:t>studentʻs</w:t>
      </w:r>
      <w:proofErr w:type="spellEnd"/>
      <w:r w:rsidRPr="000071E4">
        <w:rPr>
          <w:rFonts w:asciiTheme="minorHAnsi" w:hAnsiTheme="minorHAnsi"/>
          <w:sz w:val="24"/>
          <w:szCs w:val="24"/>
        </w:rPr>
        <w:t xml:space="preserve"> current mailing address.</w:t>
      </w:r>
    </w:p>
    <w:p w14:paraId="0000002A" w14:textId="4E0CC699" w:rsidR="00E12622" w:rsidRPr="0021119B" w:rsidRDefault="000071E4">
      <w:pPr>
        <w:pStyle w:val="Normal1"/>
        <w:numPr>
          <w:ilvl w:val="1"/>
          <w:numId w:val="1"/>
        </w:numPr>
        <w:ind w:right="600"/>
        <w:rPr>
          <w:rFonts w:asciiTheme="minorHAnsi" w:hAnsiTheme="minorHAnsi"/>
          <w:color w:val="000000" w:themeColor="text1"/>
          <w:sz w:val="24"/>
          <w:szCs w:val="24"/>
          <w:highlight w:val="white"/>
        </w:rPr>
      </w:pPr>
      <w:r w:rsidRPr="0021119B">
        <w:rPr>
          <w:rFonts w:asciiTheme="minorHAnsi" w:hAnsiTheme="minorHAnsi"/>
          <w:color w:val="000000" w:themeColor="text1"/>
          <w:sz w:val="24"/>
          <w:szCs w:val="24"/>
        </w:rPr>
        <w:t xml:space="preserve">If </w:t>
      </w:r>
      <w:r w:rsidR="008D2CE2" w:rsidRPr="0021119B">
        <w:rPr>
          <w:rFonts w:asciiTheme="minorHAnsi" w:hAnsiTheme="minorHAnsi"/>
          <w:color w:val="000000" w:themeColor="text1"/>
          <w:sz w:val="24"/>
          <w:szCs w:val="24"/>
        </w:rPr>
        <w:t xml:space="preserve">a student changes location to another </w:t>
      </w:r>
      <w:r w:rsidRPr="0021119B">
        <w:rPr>
          <w:rFonts w:asciiTheme="minorHAnsi" w:hAnsiTheme="minorHAnsi"/>
          <w:color w:val="000000" w:themeColor="text1"/>
          <w:sz w:val="24"/>
          <w:szCs w:val="24"/>
        </w:rPr>
        <w:t xml:space="preserve">state in any period of enrollment, a direct disclosure communication must be sent to the student regarding professional licensure within 14 days of the location change notification. </w:t>
      </w:r>
    </w:p>
    <w:p w14:paraId="0000002C" w14:textId="0D8BF18C" w:rsidR="00E12622" w:rsidRPr="000071E4" w:rsidRDefault="00CE5F1C">
      <w:pPr>
        <w:pStyle w:val="Normal1"/>
        <w:numPr>
          <w:ilvl w:val="1"/>
          <w:numId w:val="1"/>
        </w:numPr>
        <w:ind w:right="600"/>
        <w:rPr>
          <w:rFonts w:asciiTheme="minorHAnsi" w:hAnsiTheme="minorHAnsi"/>
          <w:color w:val="222222"/>
          <w:sz w:val="24"/>
          <w:szCs w:val="24"/>
          <w:highlight w:val="white"/>
        </w:rPr>
      </w:pPr>
      <w:r>
        <w:rPr>
          <w:rFonts w:asciiTheme="minorHAnsi" w:hAnsiTheme="minorHAnsi"/>
          <w:sz w:val="24"/>
          <w:szCs w:val="24"/>
        </w:rPr>
        <w:t xml:space="preserve">Procedure </w:t>
      </w:r>
      <w:r w:rsidR="000071E4" w:rsidRPr="000071E4">
        <w:rPr>
          <w:rFonts w:asciiTheme="minorHAnsi" w:hAnsiTheme="minorHAnsi"/>
          <w:sz w:val="24"/>
          <w:szCs w:val="24"/>
        </w:rPr>
        <w:t>for direct disclosures:</w:t>
      </w:r>
    </w:p>
    <w:p w14:paraId="0000002D" w14:textId="77777777" w:rsidR="00E12622" w:rsidRPr="000071E4" w:rsidRDefault="000071E4">
      <w:pPr>
        <w:pStyle w:val="Normal1"/>
        <w:numPr>
          <w:ilvl w:val="2"/>
          <w:numId w:val="1"/>
        </w:numPr>
        <w:ind w:right="600"/>
        <w:rPr>
          <w:rFonts w:asciiTheme="minorHAnsi" w:hAnsiTheme="minorHAnsi"/>
          <w:sz w:val="24"/>
          <w:szCs w:val="24"/>
        </w:rPr>
      </w:pPr>
      <w:r w:rsidRPr="000071E4">
        <w:rPr>
          <w:rFonts w:asciiTheme="minorHAnsi" w:hAnsiTheme="minorHAnsi"/>
          <w:sz w:val="24"/>
          <w:szCs w:val="24"/>
        </w:rPr>
        <w:t>Include direct disclosure language (</w:t>
      </w:r>
      <w:r w:rsidRPr="0021119B">
        <w:rPr>
          <w:rFonts w:asciiTheme="minorHAnsi" w:hAnsiTheme="minorHAnsi"/>
          <w:color w:val="000000" w:themeColor="text1"/>
          <w:sz w:val="24"/>
          <w:szCs w:val="24"/>
        </w:rPr>
        <w:t>see</w:t>
      </w:r>
      <w:r w:rsidRPr="000071E4">
        <w:rPr>
          <w:rFonts w:asciiTheme="minorHAnsi" w:hAnsiTheme="minorHAnsi"/>
          <w:sz w:val="24"/>
          <w:szCs w:val="24"/>
        </w:rPr>
        <w:t xml:space="preserve"> below) in admission notification (via regular mail, email, and/or any other admission communication venues).</w:t>
      </w:r>
    </w:p>
    <w:p w14:paraId="0000002E" w14:textId="77777777" w:rsidR="00E12622" w:rsidRPr="000071E4" w:rsidRDefault="000071E4">
      <w:pPr>
        <w:pStyle w:val="Normal1"/>
        <w:numPr>
          <w:ilvl w:val="2"/>
          <w:numId w:val="1"/>
        </w:numPr>
        <w:ind w:right="600"/>
        <w:rPr>
          <w:rFonts w:asciiTheme="minorHAnsi" w:hAnsiTheme="minorHAnsi"/>
          <w:sz w:val="24"/>
          <w:szCs w:val="24"/>
        </w:rPr>
      </w:pPr>
      <w:r w:rsidRPr="000071E4">
        <w:rPr>
          <w:rFonts w:asciiTheme="minorHAnsi" w:hAnsiTheme="minorHAnsi"/>
          <w:sz w:val="24"/>
          <w:szCs w:val="24"/>
        </w:rPr>
        <w:t>Include direct disclosure language (see below) with confirmation of change of address form receipt.</w:t>
      </w:r>
    </w:p>
    <w:p w14:paraId="00000031" w14:textId="69FCFAE9" w:rsidR="00E12622" w:rsidRPr="000071E4" w:rsidRDefault="00BD3AD0">
      <w:pPr>
        <w:pStyle w:val="Normal1"/>
        <w:numPr>
          <w:ilvl w:val="1"/>
          <w:numId w:val="1"/>
        </w:numPr>
        <w:ind w:right="600"/>
        <w:rPr>
          <w:rFonts w:asciiTheme="minorHAnsi" w:hAnsiTheme="minorHAnsi"/>
          <w:color w:val="222222"/>
          <w:sz w:val="24"/>
          <w:szCs w:val="24"/>
          <w:highlight w:val="white"/>
        </w:rPr>
      </w:pPr>
      <w:r>
        <w:rPr>
          <w:rFonts w:asciiTheme="minorHAnsi" w:hAnsiTheme="minorHAnsi"/>
          <w:sz w:val="24"/>
          <w:szCs w:val="24"/>
        </w:rPr>
        <w:t>L</w:t>
      </w:r>
      <w:r w:rsidR="000071E4" w:rsidRPr="000071E4">
        <w:rPr>
          <w:rFonts w:asciiTheme="minorHAnsi" w:hAnsiTheme="minorHAnsi"/>
          <w:sz w:val="24"/>
          <w:szCs w:val="24"/>
        </w:rPr>
        <w:t>anguage for direct disclosures:</w:t>
      </w:r>
    </w:p>
    <w:p w14:paraId="00000032" w14:textId="3B5098B7" w:rsidR="00E12622" w:rsidRPr="000071E4" w:rsidRDefault="000071E4">
      <w:pPr>
        <w:pStyle w:val="Normal1"/>
        <w:numPr>
          <w:ilvl w:val="2"/>
          <w:numId w:val="1"/>
        </w:numPr>
        <w:ind w:right="600"/>
        <w:rPr>
          <w:rFonts w:asciiTheme="minorHAnsi" w:hAnsiTheme="minorHAnsi"/>
          <w:color w:val="222222"/>
          <w:sz w:val="24"/>
          <w:szCs w:val="24"/>
          <w:highlight w:val="white"/>
        </w:rPr>
      </w:pPr>
      <w:r w:rsidRPr="008D2CE2">
        <w:rPr>
          <w:rFonts w:asciiTheme="minorHAnsi" w:hAnsiTheme="minorHAnsi"/>
          <w:b/>
          <w:color w:val="222222"/>
          <w:sz w:val="24"/>
          <w:szCs w:val="24"/>
          <w:highlight w:val="white"/>
        </w:rPr>
        <w:t>If the curriculum in this academic program or course DOES meet the licensure or licensure preparation requirements for the state in which the student is currently residing</w:t>
      </w:r>
      <w:r w:rsidRPr="000071E4">
        <w:rPr>
          <w:rFonts w:asciiTheme="minorHAnsi" w:hAnsiTheme="minorHAnsi"/>
          <w:color w:val="222222"/>
          <w:sz w:val="24"/>
          <w:szCs w:val="24"/>
          <w:highlight w:val="white"/>
        </w:rPr>
        <w:t xml:space="preserve"> (as indicated by current mailing address): </w:t>
      </w:r>
      <w:r w:rsidRPr="000071E4">
        <w:rPr>
          <w:rFonts w:asciiTheme="minorHAnsi" w:hAnsiTheme="minorHAnsi"/>
          <w:i/>
          <w:color w:val="222222"/>
          <w:sz w:val="24"/>
          <w:szCs w:val="24"/>
          <w:highlight w:val="white"/>
        </w:rPr>
        <w:t xml:space="preserve">The curriculum in this academic program or course meets the requirements for licensure or licensure preparation in the following states: </w:t>
      </w:r>
      <w:proofErr w:type="gramStart"/>
      <w:r w:rsidRPr="000071E4">
        <w:rPr>
          <w:rFonts w:asciiTheme="minorHAnsi" w:hAnsiTheme="minorHAnsi"/>
          <w:i/>
          <w:color w:val="222222"/>
          <w:sz w:val="24"/>
          <w:szCs w:val="24"/>
          <w:highlight w:val="white"/>
        </w:rPr>
        <w:t>Hawai‘</w:t>
      </w:r>
      <w:proofErr w:type="gramEnd"/>
      <w:r w:rsidRPr="000071E4">
        <w:rPr>
          <w:rFonts w:asciiTheme="minorHAnsi" w:hAnsiTheme="minorHAnsi"/>
          <w:i/>
          <w:color w:val="222222"/>
          <w:sz w:val="24"/>
          <w:szCs w:val="24"/>
          <w:highlight w:val="white"/>
        </w:rPr>
        <w:t xml:space="preserve">i [include other states as appropriate, including the state in which the student resides]. If you seek licensure in one of these states, </w:t>
      </w:r>
      <w:r w:rsidRPr="000071E4">
        <w:rPr>
          <w:rFonts w:asciiTheme="minorHAnsi" w:hAnsiTheme="minorHAnsi"/>
          <w:i/>
          <w:color w:val="222222"/>
          <w:sz w:val="24"/>
          <w:szCs w:val="24"/>
          <w:highlight w:val="white"/>
        </w:rPr>
        <w:lastRenderedPageBreak/>
        <w:t>you are also encouraged to contact the licensure or certification authority in that state for more information.</w:t>
      </w:r>
    </w:p>
    <w:p w14:paraId="00000033" w14:textId="77777777" w:rsidR="00E12622" w:rsidRPr="000071E4" w:rsidRDefault="000071E4">
      <w:pPr>
        <w:pStyle w:val="Normal1"/>
        <w:numPr>
          <w:ilvl w:val="2"/>
          <w:numId w:val="1"/>
        </w:numPr>
        <w:ind w:right="600"/>
        <w:rPr>
          <w:rFonts w:asciiTheme="minorHAnsi" w:hAnsiTheme="minorHAnsi"/>
          <w:color w:val="222222"/>
          <w:sz w:val="24"/>
          <w:szCs w:val="24"/>
          <w:highlight w:val="white"/>
        </w:rPr>
      </w:pPr>
      <w:r w:rsidRPr="000071E4">
        <w:rPr>
          <w:rFonts w:asciiTheme="minorHAnsi" w:hAnsiTheme="minorHAnsi"/>
          <w:b/>
          <w:color w:val="222222"/>
          <w:sz w:val="24"/>
          <w:szCs w:val="24"/>
          <w:highlight w:val="white"/>
        </w:rPr>
        <w:t>If the curriculum in this academic program or course DOES NOT meet the licensure or licensure preparation requirements for the state in which the student is currently residing</w:t>
      </w:r>
      <w:r w:rsidRPr="000071E4">
        <w:rPr>
          <w:rFonts w:asciiTheme="minorHAnsi" w:hAnsiTheme="minorHAnsi"/>
          <w:color w:val="222222"/>
          <w:sz w:val="24"/>
          <w:szCs w:val="24"/>
          <w:highlight w:val="white"/>
        </w:rPr>
        <w:t xml:space="preserve"> (as indicated by current mailing address): </w:t>
      </w:r>
      <w:r w:rsidRPr="000071E4">
        <w:rPr>
          <w:rFonts w:asciiTheme="minorHAnsi" w:hAnsiTheme="minorHAnsi"/>
          <w:i/>
          <w:color w:val="222222"/>
          <w:sz w:val="24"/>
          <w:szCs w:val="24"/>
          <w:highlight w:val="white"/>
        </w:rPr>
        <w:t xml:space="preserve">The curriculum in this academic program or course meets the requirements for licensure or licensure preparation in the following states: </w:t>
      </w:r>
      <w:proofErr w:type="gramStart"/>
      <w:r w:rsidRPr="000071E4">
        <w:rPr>
          <w:rFonts w:asciiTheme="minorHAnsi" w:hAnsiTheme="minorHAnsi"/>
          <w:i/>
          <w:color w:val="222222"/>
          <w:sz w:val="24"/>
          <w:szCs w:val="24"/>
          <w:highlight w:val="white"/>
        </w:rPr>
        <w:t>Hawai‘</w:t>
      </w:r>
      <w:proofErr w:type="gramEnd"/>
      <w:r w:rsidRPr="000071E4">
        <w:rPr>
          <w:rFonts w:asciiTheme="minorHAnsi" w:hAnsiTheme="minorHAnsi"/>
          <w:i/>
          <w:color w:val="222222"/>
          <w:sz w:val="24"/>
          <w:szCs w:val="24"/>
          <w:highlight w:val="white"/>
        </w:rPr>
        <w:t>i [include other states as appropriate]. However, it does not meet the requirements for licensure or licensure preparation for [name the state in which the student currently resides], in which you currently reside. If you seek licensure in this state, you are encouraged to contact the licensure or certification authority in that state for more information.</w:t>
      </w:r>
    </w:p>
    <w:p w14:paraId="00000034" w14:textId="51DAA71E" w:rsidR="00E12622" w:rsidRPr="000071E4" w:rsidRDefault="000071E4">
      <w:pPr>
        <w:pStyle w:val="Normal1"/>
        <w:numPr>
          <w:ilvl w:val="2"/>
          <w:numId w:val="1"/>
        </w:numPr>
        <w:ind w:right="600"/>
        <w:rPr>
          <w:rFonts w:asciiTheme="minorHAnsi" w:hAnsiTheme="minorHAnsi"/>
          <w:color w:val="222222"/>
          <w:sz w:val="24"/>
          <w:szCs w:val="24"/>
          <w:highlight w:val="white"/>
        </w:rPr>
      </w:pPr>
      <w:r w:rsidRPr="000071E4">
        <w:rPr>
          <w:rFonts w:asciiTheme="minorHAnsi" w:hAnsiTheme="minorHAnsi"/>
          <w:b/>
          <w:color w:val="222222"/>
          <w:sz w:val="24"/>
          <w:szCs w:val="24"/>
          <w:highlight w:val="white"/>
        </w:rPr>
        <w:t>If it has NOT YET BEEN DETERMINED whether or not the curriculum in this academic program or course meets the licensure or licensure preparation requirements for the state in which the student is currently residing</w:t>
      </w:r>
      <w:r w:rsidRPr="000071E4">
        <w:rPr>
          <w:rFonts w:asciiTheme="minorHAnsi" w:hAnsiTheme="minorHAnsi"/>
          <w:color w:val="222222"/>
          <w:sz w:val="24"/>
          <w:szCs w:val="24"/>
          <w:highlight w:val="white"/>
        </w:rPr>
        <w:t xml:space="preserve"> (as indicated by current mailing address): </w:t>
      </w:r>
      <w:r w:rsidRPr="000071E4">
        <w:rPr>
          <w:rFonts w:asciiTheme="minorHAnsi" w:hAnsiTheme="minorHAnsi"/>
          <w:i/>
          <w:color w:val="222222"/>
          <w:sz w:val="24"/>
          <w:szCs w:val="24"/>
          <w:highlight w:val="white"/>
        </w:rPr>
        <w:t xml:space="preserve">The curriculum in this academic program or course meets the requirements for licensure or licensure preparation in the following states: </w:t>
      </w:r>
      <w:proofErr w:type="gramStart"/>
      <w:r w:rsidRPr="000071E4">
        <w:rPr>
          <w:rFonts w:asciiTheme="minorHAnsi" w:hAnsiTheme="minorHAnsi"/>
          <w:i/>
          <w:color w:val="222222"/>
          <w:sz w:val="24"/>
          <w:szCs w:val="24"/>
          <w:highlight w:val="white"/>
        </w:rPr>
        <w:t>Hawai‘</w:t>
      </w:r>
      <w:proofErr w:type="gramEnd"/>
      <w:r w:rsidRPr="000071E4">
        <w:rPr>
          <w:rFonts w:asciiTheme="minorHAnsi" w:hAnsiTheme="minorHAnsi"/>
          <w:i/>
          <w:color w:val="222222"/>
          <w:sz w:val="24"/>
          <w:szCs w:val="24"/>
          <w:highlight w:val="white"/>
        </w:rPr>
        <w:t xml:space="preserve">i [include other states as appropriate]. It has not yet been determined whether or not it meets the requirements for licensure or licensure preparation for [name the state in which the student currently resides], in which you currently reside. If you seek licensure in this state, you are encouraged to contact the licensure or certification authority in that state for more information. </w:t>
      </w:r>
    </w:p>
    <w:p w14:paraId="00000038" w14:textId="37557BD1" w:rsidR="00E12622" w:rsidRPr="000071E4" w:rsidRDefault="00F87EF2">
      <w:pPr>
        <w:pStyle w:val="Heading1"/>
        <w:rPr>
          <w:rFonts w:asciiTheme="minorHAnsi" w:hAnsiTheme="minorHAnsi"/>
          <w:b/>
          <w:sz w:val="24"/>
          <w:szCs w:val="24"/>
        </w:rPr>
      </w:pPr>
      <w:bookmarkStart w:id="3" w:name="_m4v35e8kgfou" w:colFirst="0" w:colLast="0"/>
      <w:bookmarkEnd w:id="3"/>
      <w:r>
        <w:rPr>
          <w:rFonts w:asciiTheme="minorHAnsi" w:hAnsiTheme="minorHAnsi"/>
          <w:b/>
          <w:sz w:val="24"/>
          <w:szCs w:val="24"/>
        </w:rPr>
        <w:t>V</w:t>
      </w:r>
      <w:r w:rsidR="000071E4" w:rsidRPr="000071E4">
        <w:rPr>
          <w:rFonts w:asciiTheme="minorHAnsi" w:hAnsiTheme="minorHAnsi"/>
          <w:b/>
          <w:sz w:val="24"/>
          <w:szCs w:val="24"/>
        </w:rPr>
        <w:t xml:space="preserve">. </w:t>
      </w:r>
      <w:r w:rsidR="000071E4" w:rsidRPr="000071E4">
        <w:rPr>
          <w:rFonts w:asciiTheme="minorHAnsi" w:hAnsiTheme="minorHAnsi"/>
          <w:b/>
          <w:sz w:val="24"/>
          <w:szCs w:val="24"/>
        </w:rPr>
        <w:tab/>
      </w:r>
      <w:r w:rsidR="008D2CE2">
        <w:rPr>
          <w:rFonts w:asciiTheme="minorHAnsi" w:hAnsiTheme="minorHAnsi"/>
          <w:b/>
          <w:sz w:val="24"/>
          <w:szCs w:val="24"/>
        </w:rPr>
        <w:t>Procedures</w:t>
      </w:r>
      <w:r w:rsidR="000071E4" w:rsidRPr="000071E4">
        <w:rPr>
          <w:rFonts w:asciiTheme="minorHAnsi" w:hAnsiTheme="minorHAnsi"/>
          <w:b/>
          <w:sz w:val="24"/>
          <w:szCs w:val="24"/>
        </w:rPr>
        <w:t xml:space="preserve"> Regarding Transfer Credit Disclosures</w:t>
      </w:r>
    </w:p>
    <w:p w14:paraId="00000039" w14:textId="09648EB7" w:rsidR="00E12622" w:rsidRPr="000071E4" w:rsidRDefault="000071E4">
      <w:pPr>
        <w:pStyle w:val="Normal1"/>
        <w:rPr>
          <w:rFonts w:asciiTheme="minorHAnsi" w:hAnsiTheme="minorHAnsi"/>
          <w:sz w:val="24"/>
          <w:szCs w:val="24"/>
        </w:rPr>
      </w:pPr>
      <w:r w:rsidRPr="000071E4">
        <w:rPr>
          <w:rFonts w:asciiTheme="minorHAnsi" w:hAnsiTheme="minorHAnsi"/>
          <w:sz w:val="24"/>
          <w:szCs w:val="24"/>
        </w:rPr>
        <w:t xml:space="preserve">The Institution’s policy on transfer credit must be disclosed to students via the </w:t>
      </w:r>
      <w:hyperlink r:id="rId7" w:history="1">
        <w:r w:rsidRPr="0021119B">
          <w:rPr>
            <w:rStyle w:val="Hyperlink"/>
            <w:rFonts w:asciiTheme="minorHAnsi" w:hAnsiTheme="minorHAnsi"/>
            <w:sz w:val="24"/>
            <w:szCs w:val="24"/>
          </w:rPr>
          <w:t>campus website</w:t>
        </w:r>
      </w:hyperlink>
      <w:r w:rsidRPr="000071E4">
        <w:rPr>
          <w:rFonts w:asciiTheme="minorHAnsi" w:hAnsiTheme="minorHAnsi"/>
          <w:sz w:val="24"/>
          <w:szCs w:val="24"/>
        </w:rPr>
        <w:t>, either on the general website or on program websites, as appropriate. Disclosure can take the form of a link to policy information or can be stated. Such a disclosure must include the following information:</w:t>
      </w:r>
    </w:p>
    <w:p w14:paraId="0000003A" w14:textId="77777777" w:rsidR="00E12622" w:rsidRPr="000071E4" w:rsidRDefault="000071E4">
      <w:pPr>
        <w:pStyle w:val="Normal1"/>
        <w:numPr>
          <w:ilvl w:val="0"/>
          <w:numId w:val="3"/>
        </w:numPr>
        <w:rPr>
          <w:rFonts w:asciiTheme="minorHAnsi" w:hAnsiTheme="minorHAnsi"/>
          <w:sz w:val="24"/>
          <w:szCs w:val="24"/>
        </w:rPr>
      </w:pPr>
      <w:r w:rsidRPr="000071E4">
        <w:rPr>
          <w:rFonts w:asciiTheme="minorHAnsi" w:hAnsiTheme="minorHAnsi"/>
          <w:sz w:val="24"/>
          <w:szCs w:val="24"/>
        </w:rPr>
        <w:t xml:space="preserve">A list of the </w:t>
      </w:r>
      <w:r w:rsidRPr="000071E4">
        <w:rPr>
          <w:rFonts w:asciiTheme="minorHAnsi" w:hAnsiTheme="minorHAnsi"/>
          <w:b/>
          <w:sz w:val="24"/>
          <w:szCs w:val="24"/>
        </w:rPr>
        <w:t>types of institutions</w:t>
      </w:r>
      <w:r w:rsidRPr="000071E4">
        <w:rPr>
          <w:rFonts w:asciiTheme="minorHAnsi" w:hAnsiTheme="minorHAnsi"/>
          <w:sz w:val="24"/>
          <w:szCs w:val="24"/>
        </w:rPr>
        <w:t xml:space="preserve"> from which </w:t>
      </w:r>
      <w:proofErr w:type="spellStart"/>
      <w:proofErr w:type="gramStart"/>
      <w:r w:rsidRPr="000071E4">
        <w:rPr>
          <w:rFonts w:asciiTheme="minorHAnsi" w:hAnsiTheme="minorHAnsi"/>
          <w:sz w:val="24"/>
          <w:szCs w:val="24"/>
        </w:rPr>
        <w:t>Kapi‘</w:t>
      </w:r>
      <w:proofErr w:type="gramEnd"/>
      <w:r w:rsidRPr="000071E4">
        <w:rPr>
          <w:rFonts w:asciiTheme="minorHAnsi" w:hAnsiTheme="minorHAnsi"/>
          <w:sz w:val="24"/>
          <w:szCs w:val="24"/>
        </w:rPr>
        <w:t>olani</w:t>
      </w:r>
      <w:proofErr w:type="spellEnd"/>
      <w:r w:rsidRPr="000071E4">
        <w:rPr>
          <w:rFonts w:asciiTheme="minorHAnsi" w:hAnsiTheme="minorHAnsi"/>
          <w:sz w:val="24"/>
          <w:szCs w:val="24"/>
        </w:rPr>
        <w:t xml:space="preserve"> CC </w:t>
      </w:r>
      <w:r w:rsidRPr="000071E4">
        <w:rPr>
          <w:rFonts w:asciiTheme="minorHAnsi" w:hAnsiTheme="minorHAnsi"/>
          <w:b/>
          <w:sz w:val="24"/>
          <w:szCs w:val="24"/>
        </w:rPr>
        <w:t>will not accept transfer credits</w:t>
      </w:r>
      <w:r w:rsidRPr="000071E4">
        <w:rPr>
          <w:rFonts w:asciiTheme="minorHAnsi" w:hAnsiTheme="minorHAnsi"/>
          <w:sz w:val="24"/>
          <w:szCs w:val="24"/>
        </w:rPr>
        <w:t>, if any.</w:t>
      </w:r>
    </w:p>
    <w:p w14:paraId="0000003B" w14:textId="77777777" w:rsidR="00E12622" w:rsidRPr="000071E4" w:rsidRDefault="000071E4">
      <w:pPr>
        <w:pStyle w:val="Normal1"/>
        <w:numPr>
          <w:ilvl w:val="0"/>
          <w:numId w:val="3"/>
        </w:numPr>
        <w:rPr>
          <w:rFonts w:asciiTheme="minorHAnsi" w:hAnsiTheme="minorHAnsi"/>
          <w:sz w:val="24"/>
          <w:szCs w:val="24"/>
        </w:rPr>
      </w:pPr>
      <w:r w:rsidRPr="000071E4">
        <w:rPr>
          <w:rFonts w:asciiTheme="minorHAnsi" w:hAnsiTheme="minorHAnsi"/>
          <w:sz w:val="24"/>
          <w:szCs w:val="24"/>
        </w:rPr>
        <w:lastRenderedPageBreak/>
        <w:t xml:space="preserve">Any </w:t>
      </w:r>
      <w:r w:rsidRPr="000071E4">
        <w:rPr>
          <w:rFonts w:asciiTheme="minorHAnsi" w:hAnsiTheme="minorHAnsi"/>
          <w:b/>
          <w:sz w:val="24"/>
          <w:szCs w:val="24"/>
        </w:rPr>
        <w:t>written criteria used to evaluate and award credit</w:t>
      </w:r>
      <w:r w:rsidRPr="000071E4">
        <w:rPr>
          <w:rFonts w:asciiTheme="minorHAnsi" w:hAnsiTheme="minorHAnsi"/>
          <w:sz w:val="24"/>
          <w:szCs w:val="24"/>
        </w:rPr>
        <w:t xml:space="preserve"> for prior learning experiences.</w:t>
      </w:r>
    </w:p>
    <w:p w14:paraId="28B488E8" w14:textId="143453E6" w:rsidR="000071E4" w:rsidRPr="0068696F" w:rsidRDefault="000071E4" w:rsidP="0068696F">
      <w:pPr>
        <w:pStyle w:val="Heading1"/>
        <w:rPr>
          <w:rFonts w:asciiTheme="minorHAnsi" w:hAnsiTheme="minorHAnsi"/>
          <w:b/>
          <w:sz w:val="24"/>
          <w:szCs w:val="24"/>
        </w:rPr>
      </w:pPr>
      <w:bookmarkStart w:id="4" w:name="_33vwmsumgiu9" w:colFirst="0" w:colLast="0"/>
      <w:bookmarkEnd w:id="4"/>
      <w:r>
        <w:rPr>
          <w:rFonts w:asciiTheme="minorHAnsi" w:hAnsiTheme="minorHAnsi"/>
          <w:b/>
          <w:sz w:val="24"/>
          <w:szCs w:val="24"/>
        </w:rPr>
        <w:t>V</w:t>
      </w:r>
      <w:r w:rsidR="00F87EF2">
        <w:rPr>
          <w:rFonts w:asciiTheme="minorHAnsi" w:hAnsiTheme="minorHAnsi"/>
          <w:b/>
          <w:sz w:val="24"/>
          <w:szCs w:val="24"/>
        </w:rPr>
        <w:t>I</w:t>
      </w:r>
      <w:r>
        <w:rPr>
          <w:rFonts w:asciiTheme="minorHAnsi" w:hAnsiTheme="minorHAnsi"/>
          <w:b/>
          <w:sz w:val="24"/>
          <w:szCs w:val="24"/>
        </w:rPr>
        <w:t xml:space="preserve">. </w:t>
      </w:r>
      <w:r>
        <w:rPr>
          <w:rFonts w:asciiTheme="minorHAnsi" w:hAnsiTheme="minorHAnsi"/>
          <w:b/>
          <w:sz w:val="24"/>
          <w:szCs w:val="24"/>
        </w:rPr>
        <w:tab/>
      </w:r>
      <w:r w:rsidR="008D2CE2">
        <w:rPr>
          <w:rFonts w:asciiTheme="minorHAnsi" w:hAnsiTheme="minorHAnsi"/>
          <w:b/>
          <w:sz w:val="24"/>
          <w:szCs w:val="24"/>
        </w:rPr>
        <w:t>Procedures</w:t>
      </w:r>
      <w:r w:rsidRPr="000071E4">
        <w:rPr>
          <w:rFonts w:asciiTheme="minorHAnsi" w:hAnsiTheme="minorHAnsi"/>
          <w:b/>
          <w:sz w:val="24"/>
          <w:szCs w:val="24"/>
        </w:rPr>
        <w:t xml:space="preserve"> Regarding Other Student Disclosures</w:t>
      </w:r>
    </w:p>
    <w:p w14:paraId="0000003D" w14:textId="6836C019" w:rsidR="00E12622" w:rsidRPr="000071E4" w:rsidRDefault="000071E4">
      <w:pPr>
        <w:pStyle w:val="Normal1"/>
        <w:rPr>
          <w:rFonts w:asciiTheme="minorHAnsi" w:hAnsiTheme="minorHAnsi"/>
          <w:sz w:val="24"/>
          <w:szCs w:val="24"/>
        </w:rPr>
      </w:pPr>
      <w:r w:rsidRPr="000071E4">
        <w:rPr>
          <w:rFonts w:asciiTheme="minorHAnsi" w:hAnsiTheme="minorHAnsi"/>
          <w:b/>
          <w:sz w:val="24"/>
          <w:szCs w:val="24"/>
        </w:rPr>
        <w:t>If any of the following situations arise</w:t>
      </w:r>
      <w:r w:rsidRPr="000071E4">
        <w:rPr>
          <w:rFonts w:asciiTheme="minorHAnsi" w:hAnsiTheme="minorHAnsi"/>
          <w:sz w:val="24"/>
          <w:szCs w:val="24"/>
        </w:rPr>
        <w:t xml:space="preserve">, they must be disclosed to students via </w:t>
      </w:r>
      <w:r w:rsidR="00783748">
        <w:rPr>
          <w:rFonts w:asciiTheme="minorHAnsi" w:hAnsiTheme="minorHAnsi"/>
          <w:sz w:val="24"/>
          <w:szCs w:val="24"/>
        </w:rPr>
        <w:t>the</w:t>
      </w:r>
      <w:r w:rsidR="00783748" w:rsidRPr="000071E4">
        <w:rPr>
          <w:rFonts w:asciiTheme="minorHAnsi" w:hAnsiTheme="minorHAnsi"/>
          <w:sz w:val="24"/>
          <w:szCs w:val="24"/>
        </w:rPr>
        <w:t xml:space="preserve"> </w:t>
      </w:r>
      <w:r w:rsidRPr="000071E4">
        <w:rPr>
          <w:rFonts w:asciiTheme="minorHAnsi" w:hAnsiTheme="minorHAnsi"/>
          <w:sz w:val="24"/>
          <w:szCs w:val="24"/>
        </w:rPr>
        <w:t>campus website, either on the general website or on program websites, as appropriate:</w:t>
      </w:r>
    </w:p>
    <w:p w14:paraId="0000003E" w14:textId="77777777" w:rsidR="00E12622" w:rsidRPr="000071E4" w:rsidRDefault="000071E4">
      <w:pPr>
        <w:pStyle w:val="Normal1"/>
        <w:numPr>
          <w:ilvl w:val="0"/>
          <w:numId w:val="4"/>
        </w:numPr>
        <w:rPr>
          <w:rFonts w:asciiTheme="minorHAnsi" w:hAnsiTheme="minorHAnsi"/>
          <w:sz w:val="24"/>
          <w:szCs w:val="24"/>
        </w:rPr>
      </w:pPr>
      <w:r w:rsidRPr="000071E4">
        <w:rPr>
          <w:rFonts w:asciiTheme="minorHAnsi" w:hAnsiTheme="minorHAnsi"/>
          <w:sz w:val="24"/>
          <w:szCs w:val="24"/>
        </w:rPr>
        <w:t xml:space="preserve">The use of any </w:t>
      </w:r>
      <w:r w:rsidRPr="000071E4">
        <w:rPr>
          <w:rFonts w:asciiTheme="minorHAnsi" w:hAnsiTheme="minorHAnsi"/>
          <w:b/>
          <w:sz w:val="24"/>
          <w:szCs w:val="24"/>
        </w:rPr>
        <w:t>third-party educational services</w:t>
      </w:r>
      <w:r w:rsidRPr="000071E4">
        <w:rPr>
          <w:rFonts w:asciiTheme="minorHAnsi" w:hAnsiTheme="minorHAnsi"/>
          <w:sz w:val="24"/>
          <w:szCs w:val="24"/>
        </w:rPr>
        <w:t xml:space="preserve"> to deliver some or all of the curriculum or instruction for a program.</w:t>
      </w:r>
    </w:p>
    <w:p w14:paraId="0000003F" w14:textId="177470FA" w:rsidR="00E12622" w:rsidRPr="000071E4" w:rsidRDefault="000071E4">
      <w:pPr>
        <w:pStyle w:val="Normal1"/>
        <w:numPr>
          <w:ilvl w:val="0"/>
          <w:numId w:val="4"/>
        </w:numPr>
        <w:rPr>
          <w:rFonts w:asciiTheme="minorHAnsi" w:hAnsiTheme="minorHAnsi"/>
          <w:sz w:val="24"/>
          <w:szCs w:val="24"/>
        </w:rPr>
      </w:pPr>
      <w:r w:rsidRPr="000071E4">
        <w:rPr>
          <w:rFonts w:asciiTheme="minorHAnsi" w:hAnsiTheme="minorHAnsi"/>
          <w:b/>
          <w:sz w:val="24"/>
          <w:szCs w:val="24"/>
        </w:rPr>
        <w:t>Accreditor imposition of a requirement to maintain a "teach</w:t>
      </w:r>
      <w:r w:rsidR="00783748">
        <w:rPr>
          <w:rFonts w:asciiTheme="minorHAnsi" w:hAnsiTheme="minorHAnsi"/>
          <w:b/>
          <w:sz w:val="24"/>
          <w:szCs w:val="24"/>
        </w:rPr>
        <w:t>-</w:t>
      </w:r>
      <w:r w:rsidRPr="000071E4">
        <w:rPr>
          <w:rFonts w:asciiTheme="minorHAnsi" w:hAnsiTheme="minorHAnsi"/>
          <w:b/>
          <w:sz w:val="24"/>
          <w:szCs w:val="24"/>
        </w:rPr>
        <w:t>out plan"</w:t>
      </w:r>
      <w:r w:rsidRPr="000071E4">
        <w:rPr>
          <w:rFonts w:asciiTheme="minorHAnsi" w:hAnsiTheme="minorHAnsi"/>
          <w:sz w:val="24"/>
          <w:szCs w:val="24"/>
        </w:rPr>
        <w:t xml:space="preserve"> and the reasons why this requirement was imposed.</w:t>
      </w:r>
    </w:p>
    <w:p w14:paraId="00000040" w14:textId="77777777" w:rsidR="00E12622" w:rsidRPr="000071E4" w:rsidRDefault="000071E4">
      <w:pPr>
        <w:pStyle w:val="Normal1"/>
        <w:numPr>
          <w:ilvl w:val="0"/>
          <w:numId w:val="4"/>
        </w:numPr>
        <w:rPr>
          <w:rFonts w:asciiTheme="minorHAnsi" w:hAnsiTheme="minorHAnsi"/>
          <w:sz w:val="24"/>
          <w:szCs w:val="24"/>
        </w:rPr>
      </w:pPr>
      <w:r w:rsidRPr="000071E4">
        <w:rPr>
          <w:rFonts w:asciiTheme="minorHAnsi" w:hAnsiTheme="minorHAnsi"/>
          <w:b/>
          <w:sz w:val="24"/>
          <w:szCs w:val="24"/>
        </w:rPr>
        <w:t>State or federal enforcement action or prosecution</w:t>
      </w:r>
      <w:r w:rsidRPr="000071E4">
        <w:rPr>
          <w:rFonts w:asciiTheme="minorHAnsi" w:hAnsiTheme="minorHAnsi"/>
          <w:sz w:val="24"/>
          <w:szCs w:val="24"/>
        </w:rPr>
        <w:t xml:space="preserve"> that could result in</w:t>
      </w:r>
    </w:p>
    <w:p w14:paraId="00000041" w14:textId="77777777" w:rsidR="00E12622" w:rsidRPr="000071E4" w:rsidRDefault="000071E4">
      <w:pPr>
        <w:pStyle w:val="Normal1"/>
        <w:numPr>
          <w:ilvl w:val="1"/>
          <w:numId w:val="4"/>
        </w:numPr>
        <w:rPr>
          <w:rFonts w:asciiTheme="minorHAnsi" w:hAnsiTheme="minorHAnsi"/>
          <w:sz w:val="24"/>
          <w:szCs w:val="24"/>
        </w:rPr>
      </w:pPr>
      <w:r w:rsidRPr="000071E4">
        <w:rPr>
          <w:rFonts w:asciiTheme="minorHAnsi" w:hAnsiTheme="minorHAnsi"/>
          <w:sz w:val="24"/>
          <w:szCs w:val="24"/>
        </w:rPr>
        <w:t>accrediting agency adverse action,</w:t>
      </w:r>
    </w:p>
    <w:p w14:paraId="00000042" w14:textId="77777777" w:rsidR="00E12622" w:rsidRPr="000071E4" w:rsidRDefault="000071E4">
      <w:pPr>
        <w:pStyle w:val="Normal1"/>
        <w:numPr>
          <w:ilvl w:val="1"/>
          <w:numId w:val="4"/>
        </w:numPr>
        <w:rPr>
          <w:rFonts w:asciiTheme="minorHAnsi" w:hAnsiTheme="minorHAnsi"/>
          <w:sz w:val="24"/>
          <w:szCs w:val="24"/>
        </w:rPr>
      </w:pPr>
      <w:r w:rsidRPr="000071E4">
        <w:rPr>
          <w:rFonts w:asciiTheme="minorHAnsi" w:hAnsiTheme="minorHAnsi"/>
          <w:sz w:val="24"/>
          <w:szCs w:val="24"/>
        </w:rPr>
        <w:t>revocation of state authorization, or</w:t>
      </w:r>
    </w:p>
    <w:p w14:paraId="00000043" w14:textId="77777777" w:rsidR="00E12622" w:rsidRPr="000071E4" w:rsidRDefault="000071E4">
      <w:pPr>
        <w:pStyle w:val="Normal1"/>
        <w:numPr>
          <w:ilvl w:val="1"/>
          <w:numId w:val="4"/>
        </w:numPr>
        <w:spacing w:after="240"/>
        <w:rPr>
          <w:rFonts w:asciiTheme="minorHAnsi" w:hAnsiTheme="minorHAnsi"/>
          <w:sz w:val="24"/>
          <w:szCs w:val="24"/>
        </w:rPr>
      </w:pPr>
      <w:r w:rsidRPr="000071E4">
        <w:rPr>
          <w:rFonts w:asciiTheme="minorHAnsi" w:hAnsiTheme="minorHAnsi"/>
          <w:sz w:val="24"/>
          <w:szCs w:val="24"/>
        </w:rPr>
        <w:t>Title IV eligibility limitation, suspension, or revocation.</w:t>
      </w:r>
    </w:p>
    <w:sectPr w:rsidR="00E12622" w:rsidRPr="000071E4">
      <w:headerReference w:type="default" r:id="rId8"/>
      <w:footerReference w:type="even"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41A84E" w14:textId="77777777" w:rsidR="00011610" w:rsidRDefault="00011610">
      <w:pPr>
        <w:spacing w:line="240" w:lineRule="auto"/>
      </w:pPr>
      <w:r>
        <w:separator/>
      </w:r>
    </w:p>
  </w:endnote>
  <w:endnote w:type="continuationSeparator" w:id="0">
    <w:p w14:paraId="17DE133E" w14:textId="77777777" w:rsidR="00011610" w:rsidRDefault="000116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B0604020202020204"/>
    <w:charset w:val="00"/>
    <w:family w:val="auto"/>
    <w:pitch w:val="variable"/>
    <w:sig w:usb0="E00002FF" w:usb1="5000205B" w:usb2="00000020" w:usb3="00000000" w:csb0="000001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FBFFC" w14:textId="77777777" w:rsidR="008D2CE2" w:rsidRDefault="008D2CE2" w:rsidP="00CE5F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16F989" w14:textId="77777777" w:rsidR="008D2CE2" w:rsidRDefault="008D2CE2" w:rsidP="000071E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84E60" w14:textId="77777777" w:rsidR="008D2CE2" w:rsidRDefault="008D2CE2" w:rsidP="00CE5F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8696F">
      <w:rPr>
        <w:rStyle w:val="PageNumber"/>
        <w:noProof/>
      </w:rPr>
      <w:t>3</w:t>
    </w:r>
    <w:r>
      <w:rPr>
        <w:rStyle w:val="PageNumber"/>
      </w:rPr>
      <w:fldChar w:fldCharType="end"/>
    </w:r>
  </w:p>
  <w:p w14:paraId="00000045" w14:textId="6424D766" w:rsidR="008D2CE2" w:rsidRDefault="008D2CE2" w:rsidP="000071E4">
    <w:pPr>
      <w:pStyle w:val="Normal1"/>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942116" w14:textId="77777777" w:rsidR="00011610" w:rsidRDefault="00011610">
      <w:pPr>
        <w:spacing w:line="240" w:lineRule="auto"/>
      </w:pPr>
      <w:r>
        <w:separator/>
      </w:r>
    </w:p>
  </w:footnote>
  <w:footnote w:type="continuationSeparator" w:id="0">
    <w:p w14:paraId="3C794484" w14:textId="77777777" w:rsidR="00011610" w:rsidRDefault="0001161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44" w14:textId="6513E1F4" w:rsidR="008D2CE2" w:rsidRDefault="008D2CE2">
    <w:pPr>
      <w:pStyle w:val="Normal1"/>
      <w:jc w:val="center"/>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6E7CDA"/>
    <w:multiLevelType w:val="multilevel"/>
    <w:tmpl w:val="572C954C"/>
    <w:lvl w:ilvl="0">
      <w:start w:val="1"/>
      <w:numFmt w:val="upperLetter"/>
      <w:lvlText w:val="%1."/>
      <w:lvlJc w:val="left"/>
      <w:pPr>
        <w:ind w:left="1440" w:hanging="360"/>
      </w:pPr>
      <w:rPr>
        <w:rFonts w:asciiTheme="minorHAnsi" w:eastAsia="Arial" w:hAnsiTheme="minorHAnsi" w:cs="Arial"/>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19B86D6F"/>
    <w:multiLevelType w:val="multilevel"/>
    <w:tmpl w:val="3A3ED320"/>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26B64467"/>
    <w:multiLevelType w:val="multilevel"/>
    <w:tmpl w:val="B04AABF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CB96617"/>
    <w:multiLevelType w:val="hybridMultilevel"/>
    <w:tmpl w:val="7522FF3E"/>
    <w:lvl w:ilvl="0" w:tplc="04090013">
      <w:start w:val="1"/>
      <w:numFmt w:val="upperRoman"/>
      <w:lvlText w:val="%1."/>
      <w:lvlJc w:val="righ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4" w15:restartNumberingAfterBreak="0">
    <w:nsid w:val="2E261DB0"/>
    <w:multiLevelType w:val="hybridMultilevel"/>
    <w:tmpl w:val="6BB8E7AA"/>
    <w:lvl w:ilvl="0" w:tplc="04090015">
      <w:start w:val="2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976FD4"/>
    <w:multiLevelType w:val="hybridMultilevel"/>
    <w:tmpl w:val="98FEBB74"/>
    <w:lvl w:ilvl="0" w:tplc="04090015">
      <w:start w:val="2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5C3728"/>
    <w:multiLevelType w:val="multilevel"/>
    <w:tmpl w:val="66BCC6A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A9E277A"/>
    <w:multiLevelType w:val="hybridMultilevel"/>
    <w:tmpl w:val="5ED0DA66"/>
    <w:lvl w:ilvl="0" w:tplc="0409001B">
      <w:start w:val="1"/>
      <w:numFmt w:val="lowerRoman"/>
      <w:lvlText w:val="%1."/>
      <w:lvlJc w:val="righ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8" w15:restartNumberingAfterBreak="0">
    <w:nsid w:val="638819BB"/>
    <w:multiLevelType w:val="multilevel"/>
    <w:tmpl w:val="B2944548"/>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0"/>
  </w:num>
  <w:num w:numId="2">
    <w:abstractNumId w:val="2"/>
  </w:num>
  <w:num w:numId="3">
    <w:abstractNumId w:val="8"/>
  </w:num>
  <w:num w:numId="4">
    <w:abstractNumId w:val="1"/>
  </w:num>
  <w:num w:numId="5">
    <w:abstractNumId w:val="5"/>
  </w:num>
  <w:num w:numId="6">
    <w:abstractNumId w:val="4"/>
  </w:num>
  <w:num w:numId="7">
    <w:abstractNumId w:val="6"/>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622"/>
    <w:rsid w:val="000071E4"/>
    <w:rsid w:val="00011610"/>
    <w:rsid w:val="000669ED"/>
    <w:rsid w:val="00136813"/>
    <w:rsid w:val="001B353C"/>
    <w:rsid w:val="001C7877"/>
    <w:rsid w:val="0021119B"/>
    <w:rsid w:val="00224B25"/>
    <w:rsid w:val="00236683"/>
    <w:rsid w:val="004B7212"/>
    <w:rsid w:val="0068696F"/>
    <w:rsid w:val="006E3273"/>
    <w:rsid w:val="00737BA3"/>
    <w:rsid w:val="00783748"/>
    <w:rsid w:val="007A717C"/>
    <w:rsid w:val="007D6F4A"/>
    <w:rsid w:val="008230D2"/>
    <w:rsid w:val="0087052D"/>
    <w:rsid w:val="008D2CE2"/>
    <w:rsid w:val="008E6648"/>
    <w:rsid w:val="00B5125F"/>
    <w:rsid w:val="00B606AD"/>
    <w:rsid w:val="00BD3AD0"/>
    <w:rsid w:val="00BE7DD8"/>
    <w:rsid w:val="00CD31AA"/>
    <w:rsid w:val="00CE5F1C"/>
    <w:rsid w:val="00E12622"/>
    <w:rsid w:val="00F87EF2"/>
    <w:rsid w:val="00FA34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DAB589"/>
  <w15:docId w15:val="{E66F887F-EFD6-9F42-9AA6-C503749A3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color w:val="666666"/>
      <w:sz w:val="30"/>
      <w:szCs w:val="30"/>
    </w:rPr>
  </w:style>
  <w:style w:type="paragraph" w:styleId="Footer">
    <w:name w:val="footer"/>
    <w:basedOn w:val="Normal"/>
    <w:link w:val="FooterChar"/>
    <w:uiPriority w:val="99"/>
    <w:unhideWhenUsed/>
    <w:rsid w:val="000071E4"/>
    <w:pPr>
      <w:tabs>
        <w:tab w:val="center" w:pos="4320"/>
        <w:tab w:val="right" w:pos="8640"/>
      </w:tabs>
      <w:spacing w:line="240" w:lineRule="auto"/>
    </w:pPr>
  </w:style>
  <w:style w:type="character" w:customStyle="1" w:styleId="FooterChar">
    <w:name w:val="Footer Char"/>
    <w:basedOn w:val="DefaultParagraphFont"/>
    <w:link w:val="Footer"/>
    <w:uiPriority w:val="99"/>
    <w:rsid w:val="000071E4"/>
  </w:style>
  <w:style w:type="character" w:styleId="PageNumber">
    <w:name w:val="page number"/>
    <w:basedOn w:val="DefaultParagraphFont"/>
    <w:uiPriority w:val="99"/>
    <w:semiHidden/>
    <w:unhideWhenUsed/>
    <w:rsid w:val="000071E4"/>
  </w:style>
  <w:style w:type="character" w:styleId="Hyperlink">
    <w:name w:val="Hyperlink"/>
    <w:basedOn w:val="DefaultParagraphFont"/>
    <w:uiPriority w:val="99"/>
    <w:unhideWhenUsed/>
    <w:rsid w:val="008D2CE2"/>
    <w:rPr>
      <w:color w:val="0000FF" w:themeColor="hyperlink"/>
      <w:u w:val="single"/>
    </w:rPr>
  </w:style>
  <w:style w:type="paragraph" w:styleId="Header">
    <w:name w:val="header"/>
    <w:basedOn w:val="Normal"/>
    <w:link w:val="HeaderChar"/>
    <w:uiPriority w:val="99"/>
    <w:unhideWhenUsed/>
    <w:rsid w:val="0021119B"/>
    <w:pPr>
      <w:tabs>
        <w:tab w:val="center" w:pos="4680"/>
        <w:tab w:val="right" w:pos="9360"/>
      </w:tabs>
      <w:spacing w:line="240" w:lineRule="auto"/>
    </w:pPr>
  </w:style>
  <w:style w:type="character" w:customStyle="1" w:styleId="HeaderChar">
    <w:name w:val="Header Char"/>
    <w:basedOn w:val="DefaultParagraphFont"/>
    <w:link w:val="Header"/>
    <w:uiPriority w:val="99"/>
    <w:rsid w:val="0021119B"/>
  </w:style>
  <w:style w:type="character" w:styleId="CommentReference">
    <w:name w:val="annotation reference"/>
    <w:basedOn w:val="DefaultParagraphFont"/>
    <w:uiPriority w:val="99"/>
    <w:semiHidden/>
    <w:unhideWhenUsed/>
    <w:rsid w:val="0021119B"/>
    <w:rPr>
      <w:sz w:val="16"/>
      <w:szCs w:val="16"/>
    </w:rPr>
  </w:style>
  <w:style w:type="paragraph" w:styleId="CommentText">
    <w:name w:val="annotation text"/>
    <w:basedOn w:val="Normal"/>
    <w:link w:val="CommentTextChar"/>
    <w:uiPriority w:val="99"/>
    <w:semiHidden/>
    <w:unhideWhenUsed/>
    <w:rsid w:val="0021119B"/>
    <w:pPr>
      <w:spacing w:line="240" w:lineRule="auto"/>
    </w:pPr>
    <w:rPr>
      <w:sz w:val="20"/>
      <w:szCs w:val="20"/>
    </w:rPr>
  </w:style>
  <w:style w:type="character" w:customStyle="1" w:styleId="CommentTextChar">
    <w:name w:val="Comment Text Char"/>
    <w:basedOn w:val="DefaultParagraphFont"/>
    <w:link w:val="CommentText"/>
    <w:uiPriority w:val="99"/>
    <w:semiHidden/>
    <w:rsid w:val="0021119B"/>
    <w:rPr>
      <w:sz w:val="20"/>
      <w:szCs w:val="20"/>
    </w:rPr>
  </w:style>
  <w:style w:type="paragraph" w:styleId="CommentSubject">
    <w:name w:val="annotation subject"/>
    <w:basedOn w:val="CommentText"/>
    <w:next w:val="CommentText"/>
    <w:link w:val="CommentSubjectChar"/>
    <w:uiPriority w:val="99"/>
    <w:semiHidden/>
    <w:unhideWhenUsed/>
    <w:rsid w:val="0021119B"/>
    <w:rPr>
      <w:b/>
      <w:bCs/>
    </w:rPr>
  </w:style>
  <w:style w:type="character" w:customStyle="1" w:styleId="CommentSubjectChar">
    <w:name w:val="Comment Subject Char"/>
    <w:basedOn w:val="CommentTextChar"/>
    <w:link w:val="CommentSubject"/>
    <w:uiPriority w:val="99"/>
    <w:semiHidden/>
    <w:rsid w:val="0021119B"/>
    <w:rPr>
      <w:b/>
      <w:bCs/>
      <w:sz w:val="20"/>
      <w:szCs w:val="20"/>
    </w:rPr>
  </w:style>
  <w:style w:type="character" w:styleId="FollowedHyperlink">
    <w:name w:val="FollowedHyperlink"/>
    <w:basedOn w:val="DefaultParagraphFont"/>
    <w:uiPriority w:val="99"/>
    <w:semiHidden/>
    <w:unhideWhenUsed/>
    <w:rsid w:val="0021119B"/>
    <w:rPr>
      <w:color w:val="800080" w:themeColor="followedHyperlink"/>
      <w:u w:val="single"/>
    </w:rPr>
  </w:style>
  <w:style w:type="character" w:styleId="UnresolvedMention">
    <w:name w:val="Unresolved Mention"/>
    <w:basedOn w:val="DefaultParagraphFont"/>
    <w:uiPriority w:val="99"/>
    <w:semiHidden/>
    <w:unhideWhenUsed/>
    <w:rsid w:val="002111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kapiolani.hawaii.edu/admissions/out-of-state-studen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1440</Words>
  <Characters>8208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Kapiolani Community College</Company>
  <LinksUpToDate>false</LinksUpToDate>
  <CharactersWithSpaces>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2021-04-30T02:04:00Z</dcterms:created>
  <dcterms:modified xsi:type="dcterms:W3CDTF">2021-04-30T02:04:00Z</dcterms:modified>
</cp:coreProperties>
</file>